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3D5D2B">
            <w:pPr>
              <w:rPr>
                <w:b/>
              </w:rPr>
            </w:pPr>
            <w:r w:rsidRPr="001E0050">
              <w:rPr>
                <w:b/>
              </w:rPr>
              <w:t xml:space="preserve">Date:    </w:t>
            </w:r>
            <w:r w:rsidR="003D5D2B">
              <w:rPr>
                <w:b/>
              </w:rPr>
              <w:t>January 28, 2020</w:t>
            </w:r>
          </w:p>
        </w:tc>
      </w:tr>
      <w:tr w:rsidR="00D81AA6" w:rsidRPr="001E0050" w:rsidTr="006E7DAB">
        <w:trPr>
          <w:trHeight w:val="275"/>
        </w:trPr>
        <w:tc>
          <w:tcPr>
            <w:tcW w:w="10080" w:type="dxa"/>
            <w:gridSpan w:val="2"/>
            <w:vMerge w:val="restart"/>
            <w:vAlign w:val="center"/>
          </w:tcPr>
          <w:p w:rsidR="00583F29" w:rsidRDefault="00D81AA6" w:rsidP="00583F29">
            <w:pPr>
              <w:rPr>
                <w:b/>
              </w:rPr>
            </w:pPr>
            <w:r w:rsidRPr="001E0050">
              <w:rPr>
                <w:b/>
              </w:rPr>
              <w:t>Board Members Attending:</w:t>
            </w:r>
            <w:r w:rsidR="004159EC">
              <w:rPr>
                <w:b/>
              </w:rPr>
              <w:t xml:space="preserve"> </w:t>
            </w:r>
            <w:r w:rsidR="000E1E5A">
              <w:rPr>
                <w:b/>
              </w:rPr>
              <w:t>Bob Gibson</w:t>
            </w:r>
            <w:r w:rsidR="008E4A13">
              <w:rPr>
                <w:b/>
              </w:rPr>
              <w:t>,</w:t>
            </w:r>
            <w:r w:rsidR="000E1E5A">
              <w:rPr>
                <w:b/>
              </w:rPr>
              <w:t xml:space="preserve"> </w:t>
            </w:r>
            <w:r w:rsidR="003D5D2B">
              <w:rPr>
                <w:b/>
              </w:rPr>
              <w:t>Ken Stall, Casey O’Brien</w:t>
            </w:r>
            <w:r w:rsidR="008E4A13">
              <w:rPr>
                <w:b/>
              </w:rPr>
              <w:t xml:space="preserve">, </w:t>
            </w:r>
            <w:r w:rsidR="003D5D2B">
              <w:rPr>
                <w:b/>
              </w:rPr>
              <w:t xml:space="preserve">and </w:t>
            </w:r>
            <w:r w:rsidR="008E4A13">
              <w:rPr>
                <w:b/>
              </w:rPr>
              <w:t xml:space="preserve">Kevin McDonald </w:t>
            </w:r>
          </w:p>
          <w:p w:rsidR="001A7704" w:rsidRPr="001E0050" w:rsidRDefault="00D81AA6" w:rsidP="003D5D2B">
            <w:r w:rsidRPr="001E0050">
              <w:rPr>
                <w:b/>
              </w:rPr>
              <w:t xml:space="preserve">Board Members Absent:  </w:t>
            </w:r>
            <w:r w:rsidR="003D5D2B">
              <w:rPr>
                <w:b/>
              </w:rPr>
              <w:t>Jack Mabb, PJ Keeler, and Chelly Hegan (by phone)</w:t>
            </w:r>
          </w:p>
        </w:tc>
        <w:tc>
          <w:tcPr>
            <w:tcW w:w="4500" w:type="dxa"/>
          </w:tcPr>
          <w:p w:rsidR="00D81AA6" w:rsidRPr="001E0050" w:rsidRDefault="00D81AA6" w:rsidP="008E4A13">
            <w:pPr>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0E1E5A" w:rsidRPr="001E0050" w:rsidTr="00244475">
        <w:trPr>
          <w:trHeight w:val="620"/>
        </w:trPr>
        <w:tc>
          <w:tcPr>
            <w:tcW w:w="1793" w:type="dxa"/>
            <w:tcBorders>
              <w:top w:val="single" w:sz="4" w:space="0" w:color="auto"/>
              <w:left w:val="single" w:sz="8" w:space="0" w:color="auto"/>
              <w:bottom w:val="single" w:sz="4" w:space="0" w:color="auto"/>
              <w:right w:val="single" w:sz="4" w:space="0" w:color="auto"/>
            </w:tcBorders>
            <w:vAlign w:val="center"/>
          </w:tcPr>
          <w:p w:rsidR="000E1E5A" w:rsidRDefault="00082DA3" w:rsidP="00082DA3">
            <w:pPr>
              <w:spacing w:before="120" w:after="120"/>
            </w:pPr>
            <w:r>
              <w:t>Meeting with Terrence Pelliterri, CFP, AIF</w:t>
            </w:r>
          </w:p>
        </w:tc>
        <w:tc>
          <w:tcPr>
            <w:tcW w:w="12787" w:type="dxa"/>
            <w:gridSpan w:val="2"/>
            <w:tcBorders>
              <w:top w:val="single" w:sz="4" w:space="0" w:color="auto"/>
              <w:left w:val="single" w:sz="4" w:space="0" w:color="auto"/>
              <w:bottom w:val="single" w:sz="4" w:space="0" w:color="auto"/>
            </w:tcBorders>
            <w:vAlign w:val="center"/>
          </w:tcPr>
          <w:p w:rsidR="00D15530" w:rsidRDefault="00082DA3" w:rsidP="00D15530">
            <w:pPr>
              <w:spacing w:before="120" w:after="120"/>
            </w:pPr>
            <w:r>
              <w:t xml:space="preserve">The Committee met with TJ Pelliterri, </w:t>
            </w:r>
            <w:r w:rsidR="006C59E1">
              <w:t>who updated the group on his efforts to take over management of both the agency’s 401(k) and investment accounts</w:t>
            </w:r>
            <w:r>
              <w:t xml:space="preserve">.  </w:t>
            </w:r>
          </w:p>
          <w:p w:rsidR="00D1521A" w:rsidRDefault="00D1521A" w:rsidP="00D15530">
            <w:pPr>
              <w:spacing w:before="120" w:after="120"/>
            </w:pPr>
            <w:r>
              <w:t xml:space="preserve">With regard to the 401(k) account, TJ noted that when he adopted the account, it had several different levels of built-in fees </w:t>
            </w:r>
            <w:r w:rsidR="009E7D9C">
              <w:t xml:space="preserve">that had been </w:t>
            </w:r>
            <w:r>
              <w:t xml:space="preserve">largely </w:t>
            </w:r>
            <w:r w:rsidR="00646DDE">
              <w:t>hidden from view</w:t>
            </w:r>
            <w:r w:rsidR="00244475">
              <w:t>, and some of which were excessive. In order to acquire the account, he had to immediately remove some of the investment options with higher fees, which expose the agency to participant-driven liability.  To protect the agency going forward, h</w:t>
            </w:r>
            <w:r>
              <w:t>is intention is to subcontract with a provider of 338 services, which will serve as the fiduciary on that account.</w:t>
            </w:r>
          </w:p>
          <w:p w:rsidR="006C59E1" w:rsidRDefault="00D1521A" w:rsidP="00082DA3">
            <w:pPr>
              <w:spacing w:before="120" w:after="120"/>
            </w:pPr>
            <w:r>
              <w:t xml:space="preserve">With regard to the investment account, </w:t>
            </w:r>
            <w:r w:rsidR="00D81200">
              <w:t xml:space="preserve">under </w:t>
            </w:r>
            <w:r w:rsidR="00244475">
              <w:t>the</w:t>
            </w:r>
            <w:r w:rsidR="00D81200">
              <w:t xml:space="preserve"> Greene Investment Services </w:t>
            </w:r>
            <w:r>
              <w:t>it had been</w:t>
            </w:r>
            <w:r w:rsidR="009E7D9C">
              <w:t xml:space="preserve"> managed as a brokerage account, which meant that the previous investment manager </w:t>
            </w:r>
            <w:r w:rsidR="00D81200">
              <w:t xml:space="preserve">was </w:t>
            </w:r>
            <w:r w:rsidR="00244475">
              <w:t>NOT</w:t>
            </w:r>
            <w:r w:rsidR="00D81200">
              <w:t xml:space="preserve"> a </w:t>
            </w:r>
            <w:r w:rsidR="009E7D9C">
              <w:t>fiduciary.  It is now a</w:t>
            </w:r>
            <w:r w:rsidR="00244475">
              <w:t>n</w:t>
            </w:r>
            <w:r w:rsidR="009E7D9C">
              <w:t xml:space="preserve"> advisory account, meaning that TJ </w:t>
            </w:r>
            <w:r w:rsidR="00A2698A">
              <w:t>IS</w:t>
            </w:r>
            <w:r w:rsidR="009E7D9C">
              <w:t xml:space="preserve"> a fiduciary.   The account has been </w:t>
            </w:r>
            <w:r>
              <w:t>heavily invested in C-class shares. C-</w:t>
            </w:r>
            <w:r w:rsidR="009E7D9C">
              <w:t>class shares do not assess f</w:t>
            </w:r>
            <w:r>
              <w:t>ees at the time of purchase, but their internal expense ratio is higher, and there are pe</w:t>
            </w:r>
            <w:r w:rsidR="009E7D9C">
              <w:t>nalties for leaving a fund within 12 months.  Consequently, we had been paying high fees inside the funds, as well as additional fees to the brokerage house</w:t>
            </w:r>
            <w:r w:rsidR="00D81200">
              <w:t xml:space="preserve"> </w:t>
            </w:r>
            <w:r w:rsidR="009E7D9C">
              <w:t xml:space="preserve">itself. TJ </w:t>
            </w:r>
            <w:r w:rsidR="00D81200">
              <w:t>would like to</w:t>
            </w:r>
            <w:r w:rsidR="009E7D9C">
              <w:t xml:space="preserve"> transition t</w:t>
            </w:r>
            <w:r w:rsidR="00D81200">
              <w:t xml:space="preserve">he investments to </w:t>
            </w:r>
            <w:r w:rsidR="009E7D9C">
              <w:t>institutional class shares</w:t>
            </w:r>
            <w:r w:rsidR="00A2698A">
              <w:t xml:space="preserve"> </w:t>
            </w:r>
            <w:r w:rsidR="00A2698A">
              <w:t>inside his growth and income model</w:t>
            </w:r>
            <w:r w:rsidR="00A2698A">
              <w:t xml:space="preserve"> that</w:t>
            </w:r>
            <w:r w:rsidR="00D81200">
              <w:t xml:space="preserve"> do not assess a sales charge</w:t>
            </w:r>
            <w:r w:rsidR="009E7D9C">
              <w:t xml:space="preserve"> </w:t>
            </w:r>
            <w:r w:rsidR="00A2698A">
              <w:t xml:space="preserve">and </w:t>
            </w:r>
            <w:r w:rsidR="00D81200">
              <w:t xml:space="preserve">which </w:t>
            </w:r>
            <w:r w:rsidR="009E7D9C">
              <w:t xml:space="preserve">will save us considerable money in fees. </w:t>
            </w:r>
            <w:r>
              <w:t xml:space="preserve"> </w:t>
            </w:r>
            <w:r w:rsidR="00D81200">
              <w:t>However, he indicated that our current</w:t>
            </w:r>
            <w:r w:rsidR="00D15530">
              <w:t xml:space="preserve"> Investment Policy</w:t>
            </w:r>
            <w:r w:rsidR="006C59E1">
              <w:t xml:space="preserve"> does not specify </w:t>
            </w:r>
            <w:r w:rsidR="00646DDE">
              <w:t xml:space="preserve">the criteria for dismissing a fund—that is, </w:t>
            </w:r>
            <w:r w:rsidR="00AF3247">
              <w:t xml:space="preserve">why funds </w:t>
            </w:r>
            <w:r w:rsidR="00244475">
              <w:t>c</w:t>
            </w:r>
            <w:r w:rsidR="00AF3247">
              <w:t xml:space="preserve">ould </w:t>
            </w:r>
            <w:r w:rsidR="00244475">
              <w:t>and sh</w:t>
            </w:r>
            <w:r>
              <w:t xml:space="preserve">ould </w:t>
            </w:r>
            <w:r w:rsidR="00AF3247">
              <w:t>be removed</w:t>
            </w:r>
            <w:r w:rsidR="00646DDE">
              <w:t>--</w:t>
            </w:r>
            <w:r w:rsidR="00D81200">
              <w:t xml:space="preserve">and he feels that </w:t>
            </w:r>
            <w:r>
              <w:t xml:space="preserve">constrains his ability to </w:t>
            </w:r>
            <w:r w:rsidR="00D81200">
              <w:t xml:space="preserve">manage the fund at this time. The Committee discussed this conundrum at length and ultimately determined that while it works </w:t>
            </w:r>
            <w:r w:rsidR="00646DDE">
              <w:t xml:space="preserve">over the next several weeks </w:t>
            </w:r>
            <w:r w:rsidR="00D81200">
              <w:t xml:space="preserve">to remedy some of the deficiencies in the current Investment Policy regarding </w:t>
            </w:r>
            <w:r w:rsidR="00646DDE">
              <w:t xml:space="preserve">dispositioning funds, </w:t>
            </w:r>
            <w:r w:rsidR="00D81200">
              <w:t>fees (e.g. reasonableness, upper limits, etc.)</w:t>
            </w:r>
            <w:r w:rsidR="00646DDE">
              <w:t xml:space="preserve"> and other “holes” in the policy</w:t>
            </w:r>
            <w:r w:rsidR="00D81200">
              <w:t xml:space="preserve">, </w:t>
            </w:r>
            <w:r w:rsidR="00646DDE">
              <w:t xml:space="preserve">as well as some areas that may warrant modification (e.g. concentration limits, liquidity needs), </w:t>
            </w:r>
            <w:r w:rsidR="00A2698A">
              <w:t>that it would give TJ the discretion to make changes to the account</w:t>
            </w:r>
            <w:r w:rsidR="00646DDE">
              <w:t xml:space="preserve"> in the interim</w:t>
            </w:r>
            <w:r w:rsidR="008D54E4">
              <w:t>.  That decision came in the form of a motion, as follows:</w:t>
            </w:r>
          </w:p>
          <w:p w:rsidR="008D54E4" w:rsidRPr="00646DDE" w:rsidRDefault="008D54E4" w:rsidP="00082DA3">
            <w:pPr>
              <w:spacing w:before="120" w:after="120"/>
              <w:rPr>
                <w:b/>
              </w:rPr>
            </w:pPr>
            <w:r w:rsidRPr="00646DDE">
              <w:rPr>
                <w:b/>
              </w:rPr>
              <w:t>“Notwithstanding the silence of the Investment Policy with regard to the sale of funds, the Committee hereby moves to give TJ Pelliteri permission to make changes to the investment portfolio, includ</w:t>
            </w:r>
            <w:r w:rsidR="00646DDE" w:rsidRPr="00646DDE">
              <w:rPr>
                <w:b/>
              </w:rPr>
              <w:t>ing</w:t>
            </w:r>
            <w:r w:rsidRPr="00646DDE">
              <w:rPr>
                <w:b/>
              </w:rPr>
              <w:t xml:space="preserve"> </w:t>
            </w:r>
            <w:r w:rsidR="00646DDE" w:rsidRPr="00646DDE">
              <w:rPr>
                <w:b/>
              </w:rPr>
              <w:t>selling</w:t>
            </w:r>
            <w:r w:rsidRPr="00646DDE">
              <w:rPr>
                <w:b/>
              </w:rPr>
              <w:t xml:space="preserve"> funds</w:t>
            </w:r>
            <w:r w:rsidR="00244475">
              <w:rPr>
                <w:b/>
              </w:rPr>
              <w:t xml:space="preserve"> while</w:t>
            </w:r>
            <w:r w:rsidRPr="00646DDE">
              <w:rPr>
                <w:b/>
              </w:rPr>
              <w:t xml:space="preserve"> </w:t>
            </w:r>
            <w:r w:rsidR="00646DDE" w:rsidRPr="00646DDE">
              <w:rPr>
                <w:b/>
              </w:rPr>
              <w:t xml:space="preserve">exercising prudent judgment in the best interests of the agency.” </w:t>
            </w:r>
          </w:p>
          <w:p w:rsidR="003A2E4C" w:rsidRDefault="003A2E4C" w:rsidP="00646DDE">
            <w:pPr>
              <w:spacing w:before="120" w:after="120"/>
              <w:rPr>
                <w:b/>
              </w:rPr>
            </w:pPr>
            <w:r w:rsidRPr="003A2E4C">
              <w:rPr>
                <w:b/>
              </w:rPr>
              <w:t xml:space="preserve">The motion was made by </w:t>
            </w:r>
            <w:r w:rsidR="00646DDE">
              <w:rPr>
                <w:b/>
              </w:rPr>
              <w:t>Bob Gibson</w:t>
            </w:r>
            <w:r w:rsidRPr="003A2E4C">
              <w:rPr>
                <w:b/>
              </w:rPr>
              <w:t xml:space="preserve">, seconded by </w:t>
            </w:r>
            <w:r w:rsidR="00646DDE">
              <w:rPr>
                <w:b/>
              </w:rPr>
              <w:t>Casey O’Brien</w:t>
            </w:r>
            <w:r w:rsidRPr="003A2E4C">
              <w:rPr>
                <w:b/>
              </w:rPr>
              <w:t xml:space="preserve">, and unanimously approved. </w:t>
            </w:r>
          </w:p>
          <w:p w:rsidR="00646DDE" w:rsidRPr="003A2E4C" w:rsidRDefault="00646DDE" w:rsidP="00244475">
            <w:pPr>
              <w:spacing w:before="120" w:after="120"/>
              <w:rPr>
                <w:b/>
              </w:rPr>
            </w:pPr>
            <w:r w:rsidRPr="00646DDE">
              <w:t xml:space="preserve">The Committee agreed that it would communicate this decision during the Treasurer’s Report at the next meeting of the Entire Board.  </w:t>
            </w:r>
            <w:r w:rsidR="00244475">
              <w:t xml:space="preserve">In preparation for the next scheduled meeting of the Committee, </w:t>
            </w:r>
            <w:r w:rsidRPr="00646DDE">
              <w:t xml:space="preserve">Claire will work with TJ to </w:t>
            </w:r>
            <w:r>
              <w:t xml:space="preserve">flag weaknesses in the existing Investment Policy and </w:t>
            </w:r>
            <w:r w:rsidRPr="00646DDE">
              <w:t xml:space="preserve">propose changes </w:t>
            </w:r>
            <w:r>
              <w:t>in a redlined document</w:t>
            </w:r>
            <w:r w:rsidRPr="00646DDE">
              <w:t>, which the Committee will receive o</w:t>
            </w:r>
            <w:r w:rsidR="00244475">
              <w:t>ne week prior.</w:t>
            </w:r>
          </w:p>
        </w:tc>
      </w:tr>
      <w:tr w:rsidR="00082DA3"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82DA3" w:rsidRDefault="00082DA3" w:rsidP="00082DA3">
            <w:pPr>
              <w:spacing w:before="120" w:after="120"/>
            </w:pPr>
            <w:r>
              <w:lastRenderedPageBreak/>
              <w:t>Financial Reports</w:t>
            </w:r>
          </w:p>
          <w:p w:rsidR="00082DA3" w:rsidRDefault="00082DA3" w:rsidP="00082DA3">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082DA3" w:rsidRPr="005B7F51" w:rsidRDefault="00082DA3" w:rsidP="00646DDE">
            <w:pPr>
              <w:spacing w:before="120" w:after="120"/>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646DDE">
              <w:t>December</w:t>
            </w:r>
            <w:r w:rsidR="003A2E4C">
              <w:t xml:space="preserve"> 31</w:t>
            </w:r>
            <w:r>
              <w:t>, 201</w:t>
            </w:r>
            <w:r w:rsidR="003A2E4C">
              <w:t>9</w:t>
            </w:r>
            <w:r>
              <w:t>. Additionally, John Ray offered</w:t>
            </w:r>
            <w:r w:rsidR="003A2E4C">
              <w:t xml:space="preserve"> his “Fiscal Highlights” report (see attached).</w:t>
            </w:r>
            <w:r>
              <w:t xml:space="preserve">  </w:t>
            </w:r>
          </w:p>
        </w:tc>
      </w:tr>
      <w:tr w:rsidR="00082DA3" w:rsidRPr="001E0050" w:rsidTr="007978F1">
        <w:trPr>
          <w:trHeight w:val="962"/>
        </w:trPr>
        <w:tc>
          <w:tcPr>
            <w:tcW w:w="1793" w:type="dxa"/>
            <w:tcBorders>
              <w:top w:val="single" w:sz="4" w:space="0" w:color="auto"/>
              <w:left w:val="single" w:sz="8" w:space="0" w:color="auto"/>
              <w:bottom w:val="single" w:sz="4" w:space="0" w:color="auto"/>
              <w:right w:val="single" w:sz="4" w:space="0" w:color="auto"/>
            </w:tcBorders>
            <w:vAlign w:val="center"/>
          </w:tcPr>
          <w:p w:rsidR="00082DA3" w:rsidRPr="001E0050" w:rsidRDefault="00082DA3" w:rsidP="00082DA3">
            <w:r>
              <w:t>Next meeting</w:t>
            </w:r>
          </w:p>
        </w:tc>
        <w:tc>
          <w:tcPr>
            <w:tcW w:w="12787" w:type="dxa"/>
            <w:gridSpan w:val="2"/>
            <w:tcBorders>
              <w:top w:val="single" w:sz="4" w:space="0" w:color="auto"/>
              <w:left w:val="single" w:sz="4" w:space="0" w:color="auto"/>
              <w:bottom w:val="single" w:sz="4" w:space="0" w:color="auto"/>
            </w:tcBorders>
            <w:vAlign w:val="center"/>
          </w:tcPr>
          <w:p w:rsidR="00082DA3" w:rsidRPr="005C1500" w:rsidRDefault="00082DA3" w:rsidP="003D5D2B">
            <w:pPr>
              <w:spacing w:before="120"/>
              <w:rPr>
                <w:b/>
              </w:rPr>
            </w:pPr>
            <w:r w:rsidRPr="005C1500">
              <w:rPr>
                <w:b/>
              </w:rPr>
              <w:t xml:space="preserve">Tuesday, </w:t>
            </w:r>
            <w:r w:rsidR="003D5D2B">
              <w:rPr>
                <w:b/>
              </w:rPr>
              <w:t>March 24</w:t>
            </w:r>
            <w:r>
              <w:rPr>
                <w:b/>
              </w:rPr>
              <w:t>th</w:t>
            </w:r>
            <w:r w:rsidRPr="005C1500">
              <w:rPr>
                <w:b/>
              </w:rPr>
              <w:t xml:space="preserve"> at 3:00 p.m.</w:t>
            </w:r>
            <w:r>
              <w:rPr>
                <w:b/>
              </w:rPr>
              <w:t xml:space="preserve"> </w:t>
            </w:r>
            <w:r w:rsidRPr="007978F1">
              <w:t>This and all remaining meetings in the calendar year will be hosted by the Columbia County Department of Health in its conference room.</w:t>
            </w:r>
          </w:p>
        </w:tc>
      </w:tr>
    </w:tbl>
    <w:p w:rsidR="00385B16" w:rsidRPr="00990131" w:rsidRDefault="00385B16" w:rsidP="009E5527">
      <w:bookmarkStart w:id="0" w:name="_GoBack"/>
      <w:bookmarkEnd w:id="0"/>
    </w:p>
    <w:sectPr w:rsidR="00385B16" w:rsidRPr="00990131" w:rsidSect="0026754F">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1"/>
  </w:num>
  <w:num w:numId="6">
    <w:abstractNumId w:val="13"/>
  </w:num>
  <w:num w:numId="7">
    <w:abstractNumId w:val="9"/>
  </w:num>
  <w:num w:numId="8">
    <w:abstractNumId w:val="8"/>
  </w:num>
  <w:num w:numId="9">
    <w:abstractNumId w:val="22"/>
  </w:num>
  <w:num w:numId="10">
    <w:abstractNumId w:val="15"/>
  </w:num>
  <w:num w:numId="11">
    <w:abstractNumId w:val="14"/>
  </w:num>
  <w:num w:numId="12">
    <w:abstractNumId w:val="21"/>
  </w:num>
  <w:num w:numId="13">
    <w:abstractNumId w:val="20"/>
  </w:num>
  <w:num w:numId="14">
    <w:abstractNumId w:val="16"/>
  </w:num>
  <w:num w:numId="15">
    <w:abstractNumId w:val="5"/>
  </w:num>
  <w:num w:numId="16">
    <w:abstractNumId w:val="1"/>
  </w:num>
  <w:num w:numId="17">
    <w:abstractNumId w:val="10"/>
  </w:num>
  <w:num w:numId="18">
    <w:abstractNumId w:val="12"/>
  </w:num>
  <w:num w:numId="19">
    <w:abstractNumId w:val="19"/>
  </w:num>
  <w:num w:numId="20">
    <w:abstractNumId w:val="17"/>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82DA3"/>
    <w:rsid w:val="0009460C"/>
    <w:rsid w:val="000963AD"/>
    <w:rsid w:val="00097F59"/>
    <w:rsid w:val="000A2D35"/>
    <w:rsid w:val="000B6DD7"/>
    <w:rsid w:val="000C2104"/>
    <w:rsid w:val="000D6920"/>
    <w:rsid w:val="000E1E5A"/>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4475"/>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84A05"/>
    <w:rsid w:val="00385B16"/>
    <w:rsid w:val="003918B4"/>
    <w:rsid w:val="003A2E4C"/>
    <w:rsid w:val="003D5D2B"/>
    <w:rsid w:val="003E0374"/>
    <w:rsid w:val="003F79C4"/>
    <w:rsid w:val="00412DDD"/>
    <w:rsid w:val="00413C58"/>
    <w:rsid w:val="004159EC"/>
    <w:rsid w:val="00421F8B"/>
    <w:rsid w:val="004722BA"/>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83F29"/>
    <w:rsid w:val="005A25ED"/>
    <w:rsid w:val="005B073F"/>
    <w:rsid w:val="005B4AC3"/>
    <w:rsid w:val="005B7F51"/>
    <w:rsid w:val="005C1500"/>
    <w:rsid w:val="005C3C63"/>
    <w:rsid w:val="005C6D89"/>
    <w:rsid w:val="005D783D"/>
    <w:rsid w:val="005E7D1E"/>
    <w:rsid w:val="005F21DD"/>
    <w:rsid w:val="00601B1D"/>
    <w:rsid w:val="00610D23"/>
    <w:rsid w:val="0061327C"/>
    <w:rsid w:val="0062335B"/>
    <w:rsid w:val="00646DDE"/>
    <w:rsid w:val="006472C0"/>
    <w:rsid w:val="0066211B"/>
    <w:rsid w:val="006764D2"/>
    <w:rsid w:val="00690525"/>
    <w:rsid w:val="006B0651"/>
    <w:rsid w:val="006C5404"/>
    <w:rsid w:val="006C59E1"/>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978F1"/>
    <w:rsid w:val="007D1B36"/>
    <w:rsid w:val="007D77E8"/>
    <w:rsid w:val="007E15C2"/>
    <w:rsid w:val="007E43C8"/>
    <w:rsid w:val="007F6823"/>
    <w:rsid w:val="00810247"/>
    <w:rsid w:val="00843353"/>
    <w:rsid w:val="00847547"/>
    <w:rsid w:val="00855300"/>
    <w:rsid w:val="008630E4"/>
    <w:rsid w:val="008700A0"/>
    <w:rsid w:val="0088470F"/>
    <w:rsid w:val="0088542F"/>
    <w:rsid w:val="008A2296"/>
    <w:rsid w:val="008B76AC"/>
    <w:rsid w:val="008C0136"/>
    <w:rsid w:val="008C4914"/>
    <w:rsid w:val="008C496F"/>
    <w:rsid w:val="008D1778"/>
    <w:rsid w:val="008D54E4"/>
    <w:rsid w:val="008E4A13"/>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9E7D9C"/>
    <w:rsid w:val="00A02AD5"/>
    <w:rsid w:val="00A03133"/>
    <w:rsid w:val="00A13EF2"/>
    <w:rsid w:val="00A176E2"/>
    <w:rsid w:val="00A17DE4"/>
    <w:rsid w:val="00A2698A"/>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13FB5"/>
    <w:rsid w:val="00B241BE"/>
    <w:rsid w:val="00B44232"/>
    <w:rsid w:val="00B50F4B"/>
    <w:rsid w:val="00B568C6"/>
    <w:rsid w:val="00B57C39"/>
    <w:rsid w:val="00B60BAB"/>
    <w:rsid w:val="00B71B2B"/>
    <w:rsid w:val="00B75C3E"/>
    <w:rsid w:val="00B816D9"/>
    <w:rsid w:val="00B94A16"/>
    <w:rsid w:val="00BC050C"/>
    <w:rsid w:val="00BE2FC7"/>
    <w:rsid w:val="00BE50D6"/>
    <w:rsid w:val="00BE521E"/>
    <w:rsid w:val="00BE76E2"/>
    <w:rsid w:val="00BF2184"/>
    <w:rsid w:val="00C14518"/>
    <w:rsid w:val="00C27C64"/>
    <w:rsid w:val="00C31650"/>
    <w:rsid w:val="00C50DA8"/>
    <w:rsid w:val="00C80430"/>
    <w:rsid w:val="00C827EF"/>
    <w:rsid w:val="00C95C54"/>
    <w:rsid w:val="00CA7BEE"/>
    <w:rsid w:val="00CC293F"/>
    <w:rsid w:val="00CE1DBC"/>
    <w:rsid w:val="00CE644A"/>
    <w:rsid w:val="00D01490"/>
    <w:rsid w:val="00D12FA2"/>
    <w:rsid w:val="00D13E2B"/>
    <w:rsid w:val="00D14318"/>
    <w:rsid w:val="00D1521A"/>
    <w:rsid w:val="00D15530"/>
    <w:rsid w:val="00D2044F"/>
    <w:rsid w:val="00D46062"/>
    <w:rsid w:val="00D70608"/>
    <w:rsid w:val="00D81200"/>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BC1"/>
    <w:rsid w:val="00F21962"/>
    <w:rsid w:val="00F43C7F"/>
    <w:rsid w:val="00F5638E"/>
    <w:rsid w:val="00F63E94"/>
    <w:rsid w:val="00F64AE7"/>
    <w:rsid w:val="00F744A2"/>
    <w:rsid w:val="00F8148F"/>
    <w:rsid w:val="00F84306"/>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6402"/>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1DA8-9772-4BDF-8F82-3804C00E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2020-01-30T17:22:00Z</dcterms:created>
  <dcterms:modified xsi:type="dcterms:W3CDTF">2020-01-30T17:22:00Z</dcterms:modified>
</cp:coreProperties>
</file>