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90"/>
        <w:gridCol w:w="4050"/>
      </w:tblGrid>
      <w:tr w:rsidR="006D2E29" w:rsidRPr="001E0050" w:rsidTr="00482802">
        <w:tc>
          <w:tcPr>
            <w:tcW w:w="10530" w:type="dxa"/>
            <w:gridSpan w:val="2"/>
          </w:tcPr>
          <w:p w:rsidR="006D2E29" w:rsidRPr="001E0050" w:rsidRDefault="006D2E29" w:rsidP="00482802">
            <w:pPr>
              <w:jc w:val="both"/>
              <w:rPr>
                <w:b/>
              </w:rPr>
            </w:pPr>
            <w:r w:rsidRPr="001E0050">
              <w:rPr>
                <w:b/>
              </w:rPr>
              <w:t>Committee</w:t>
            </w:r>
            <w:r w:rsidR="00467110">
              <w:rPr>
                <w:b/>
              </w:rPr>
              <w:t>s</w:t>
            </w:r>
            <w:r w:rsidRPr="001E0050">
              <w:rPr>
                <w:b/>
              </w:rPr>
              <w:t xml:space="preserve">:   </w:t>
            </w:r>
            <w:r w:rsidR="004C104F">
              <w:rPr>
                <w:b/>
              </w:rPr>
              <w:t xml:space="preserve">                  </w:t>
            </w:r>
            <w:r w:rsidR="00482802">
              <w:rPr>
                <w:b/>
              </w:rPr>
              <w:t xml:space="preserve">         </w:t>
            </w:r>
            <w:r w:rsidR="00467110">
              <w:rPr>
                <w:b/>
              </w:rPr>
              <w:t xml:space="preserve">Joint </w:t>
            </w:r>
            <w:r w:rsidR="00E91034" w:rsidRPr="001E0050">
              <w:rPr>
                <w:b/>
              </w:rPr>
              <w:t>Budget and Finance</w:t>
            </w:r>
            <w:r w:rsidR="00467110">
              <w:rPr>
                <w:b/>
              </w:rPr>
              <w:t>/Executive</w:t>
            </w:r>
          </w:p>
        </w:tc>
        <w:tc>
          <w:tcPr>
            <w:tcW w:w="4050" w:type="dxa"/>
          </w:tcPr>
          <w:p w:rsidR="0055133D" w:rsidRPr="001E0050" w:rsidRDefault="006D2E29" w:rsidP="00482802">
            <w:pPr>
              <w:jc w:val="both"/>
              <w:rPr>
                <w:b/>
              </w:rPr>
            </w:pPr>
            <w:r w:rsidRPr="001E0050">
              <w:rPr>
                <w:b/>
              </w:rPr>
              <w:t xml:space="preserve">Date:   </w:t>
            </w:r>
            <w:r w:rsidR="00482802">
              <w:rPr>
                <w:b/>
              </w:rPr>
              <w:t xml:space="preserve">  </w:t>
            </w:r>
            <w:r w:rsidR="00F209EB">
              <w:rPr>
                <w:b/>
              </w:rPr>
              <w:t>November 24, 2020</w:t>
            </w:r>
          </w:p>
        </w:tc>
      </w:tr>
      <w:tr w:rsidR="00D81AA6" w:rsidRPr="001E0050" w:rsidTr="00482802">
        <w:trPr>
          <w:trHeight w:val="275"/>
        </w:trPr>
        <w:tc>
          <w:tcPr>
            <w:tcW w:w="10530" w:type="dxa"/>
            <w:gridSpan w:val="2"/>
            <w:vMerge w:val="restart"/>
            <w:vAlign w:val="center"/>
          </w:tcPr>
          <w:p w:rsidR="009F565B"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 xml:space="preserve">ack Mabb, </w:t>
            </w:r>
            <w:r>
              <w:rPr>
                <w:b/>
              </w:rPr>
              <w:t xml:space="preserve">Bob Gibson, </w:t>
            </w:r>
            <w:r w:rsidR="007453E8">
              <w:rPr>
                <w:b/>
              </w:rPr>
              <w:t xml:space="preserve">PJ Keeler, </w:t>
            </w:r>
            <w:r w:rsidR="00F209EB">
              <w:rPr>
                <w:b/>
              </w:rPr>
              <w:t xml:space="preserve">Kevin McDonald, and </w:t>
            </w:r>
            <w:r w:rsidR="00467110">
              <w:rPr>
                <w:b/>
              </w:rPr>
              <w:t>Ken Stall</w:t>
            </w:r>
          </w:p>
          <w:p w:rsidR="001A7704" w:rsidRDefault="00482802" w:rsidP="00467110">
            <w:pPr>
              <w:jc w:val="both"/>
              <w:rPr>
                <w:b/>
              </w:rPr>
            </w:pPr>
            <w:r>
              <w:rPr>
                <w:b/>
              </w:rPr>
              <w:t>Board</w:t>
            </w:r>
            <w:r w:rsidR="00467110">
              <w:rPr>
                <w:b/>
              </w:rPr>
              <w:t xml:space="preserve"> Members </w:t>
            </w:r>
            <w:r>
              <w:rPr>
                <w:b/>
              </w:rPr>
              <w:t>Excused</w:t>
            </w:r>
            <w:r w:rsidR="00D81AA6" w:rsidRPr="001E0050">
              <w:rPr>
                <w:b/>
              </w:rPr>
              <w:t xml:space="preserve">:  </w:t>
            </w:r>
            <w:r>
              <w:rPr>
                <w:b/>
              </w:rPr>
              <w:t xml:space="preserve">     </w:t>
            </w:r>
            <w:r w:rsidR="00467110">
              <w:rPr>
                <w:b/>
              </w:rPr>
              <w:t>Casey O’Brien</w:t>
            </w:r>
          </w:p>
          <w:p w:rsidR="00467110" w:rsidRPr="001E0050" w:rsidRDefault="00467110" w:rsidP="00467110">
            <w:pPr>
              <w:jc w:val="both"/>
            </w:pPr>
          </w:p>
        </w:tc>
        <w:tc>
          <w:tcPr>
            <w:tcW w:w="4050"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482802">
        <w:trPr>
          <w:trHeight w:val="296"/>
        </w:trPr>
        <w:tc>
          <w:tcPr>
            <w:tcW w:w="10530" w:type="dxa"/>
            <w:gridSpan w:val="2"/>
            <w:vMerge/>
          </w:tcPr>
          <w:p w:rsidR="00D81AA6" w:rsidRPr="001E0050" w:rsidRDefault="00D81AA6" w:rsidP="009F565B">
            <w:pPr>
              <w:jc w:val="both"/>
              <w:rPr>
                <w:b/>
              </w:rPr>
            </w:pPr>
          </w:p>
        </w:tc>
        <w:tc>
          <w:tcPr>
            <w:tcW w:w="4050"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482802">
        <w:trPr>
          <w:trHeight w:val="345"/>
        </w:trPr>
        <w:tc>
          <w:tcPr>
            <w:tcW w:w="1440"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140"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482802">
        <w:trPr>
          <w:trHeight w:val="1520"/>
        </w:trPr>
        <w:tc>
          <w:tcPr>
            <w:tcW w:w="1440" w:type="dxa"/>
            <w:tcBorders>
              <w:top w:val="single" w:sz="4" w:space="0" w:color="auto"/>
              <w:left w:val="single" w:sz="8" w:space="0" w:color="auto"/>
              <w:bottom w:val="single" w:sz="4" w:space="0" w:color="auto"/>
              <w:right w:val="single" w:sz="4" w:space="0" w:color="auto"/>
            </w:tcBorders>
            <w:vAlign w:val="center"/>
          </w:tcPr>
          <w:p w:rsidR="000E1E5A" w:rsidRDefault="00C30993" w:rsidP="00482802">
            <w:r>
              <w:t xml:space="preserve">Update </w:t>
            </w:r>
            <w:r w:rsidR="00482802">
              <w:t>on</w:t>
            </w:r>
            <w:r w:rsidR="00F209EB">
              <w:t xml:space="preserve"> Inv</w:t>
            </w:r>
            <w:r>
              <w:t xml:space="preserve">estment </w:t>
            </w:r>
            <w:r w:rsidR="00482802">
              <w:t>Accounts</w:t>
            </w:r>
          </w:p>
        </w:tc>
        <w:tc>
          <w:tcPr>
            <w:tcW w:w="13140" w:type="dxa"/>
            <w:gridSpan w:val="2"/>
            <w:tcBorders>
              <w:top w:val="single" w:sz="4" w:space="0" w:color="auto"/>
              <w:left w:val="single" w:sz="4" w:space="0" w:color="auto"/>
              <w:bottom w:val="single" w:sz="4" w:space="0" w:color="auto"/>
            </w:tcBorders>
            <w:vAlign w:val="center"/>
          </w:tcPr>
          <w:p w:rsidR="00F209EB" w:rsidRDefault="00E722FC" w:rsidP="00B93F06">
            <w:pPr>
              <w:spacing w:before="120" w:after="120"/>
              <w:jc w:val="both"/>
            </w:pPr>
            <w:r>
              <w:t>TJ Pellitter</w:t>
            </w:r>
            <w:r w:rsidR="00CC41D1">
              <w:t xml:space="preserve">i, the </w:t>
            </w:r>
            <w:r w:rsidR="00C30993">
              <w:t>manager of</w:t>
            </w:r>
            <w:r w:rsidR="00CC41D1">
              <w:t xml:space="preserve"> the agency’s </w:t>
            </w:r>
            <w:r w:rsidR="00C30993">
              <w:t>investment</w:t>
            </w:r>
            <w:r w:rsidR="00B93F06">
              <w:t xml:space="preserve"> account (“the Fund”) and </w:t>
            </w:r>
            <w:r w:rsidR="00482802">
              <w:t>its</w:t>
            </w:r>
            <w:r w:rsidR="00B93F06">
              <w:t xml:space="preserve"> 401(k) profit-sharing account</w:t>
            </w:r>
            <w:r w:rsidR="00CC41D1">
              <w:t>, provide</w:t>
            </w:r>
            <w:r w:rsidR="00835CE2">
              <w:t>d</w:t>
            </w:r>
            <w:r w:rsidR="00CC41D1">
              <w:t xml:space="preserve"> an update to the Committee.  </w:t>
            </w:r>
            <w:r w:rsidR="00F209EB">
              <w:t xml:space="preserve">With regard to the investment account, TJ noted good performance consistent with overall market performance.  While the composition of the Fund does not allow it to perform better than the market, we do expect it to generally keep pace with </w:t>
            </w:r>
            <w:r w:rsidR="00482802">
              <w:t>market trends</w:t>
            </w:r>
            <w:r w:rsidR="00F209EB">
              <w:t xml:space="preserve">, and that has been true.   </w:t>
            </w:r>
          </w:p>
          <w:p w:rsidR="00894980" w:rsidRPr="003A2E4C" w:rsidRDefault="00482802" w:rsidP="00482802">
            <w:pPr>
              <w:spacing w:before="120" w:after="120"/>
              <w:jc w:val="both"/>
              <w:rPr>
                <w:b/>
              </w:rPr>
            </w:pPr>
            <w:r>
              <w:t xml:space="preserve">When asked to speak to major market trends, </w:t>
            </w:r>
            <w:r w:rsidR="00F209EB">
              <w:t xml:space="preserve">TJ forecast somewhat slower growth, roughly 6% per year over the next 10 years.  </w:t>
            </w:r>
            <w:r w:rsidR="002620DF">
              <w:t xml:space="preserve"> </w:t>
            </w:r>
          </w:p>
        </w:tc>
      </w:tr>
      <w:tr w:rsidR="00B956A7" w:rsidRPr="001E0050" w:rsidTr="00482802">
        <w:trPr>
          <w:trHeight w:val="1007"/>
        </w:trPr>
        <w:tc>
          <w:tcPr>
            <w:tcW w:w="1440" w:type="dxa"/>
            <w:tcBorders>
              <w:top w:val="single" w:sz="4" w:space="0" w:color="auto"/>
              <w:left w:val="single" w:sz="8" w:space="0" w:color="auto"/>
              <w:bottom w:val="single" w:sz="4" w:space="0" w:color="auto"/>
              <w:right w:val="single" w:sz="4" w:space="0" w:color="auto"/>
            </w:tcBorders>
            <w:vAlign w:val="center"/>
          </w:tcPr>
          <w:p w:rsidR="00B956A7" w:rsidRDefault="00F209EB" w:rsidP="009F565B">
            <w:r>
              <w:t>2020 Operating Budget</w:t>
            </w:r>
          </w:p>
        </w:tc>
        <w:tc>
          <w:tcPr>
            <w:tcW w:w="13140" w:type="dxa"/>
            <w:gridSpan w:val="2"/>
            <w:tcBorders>
              <w:top w:val="single" w:sz="4" w:space="0" w:color="auto"/>
              <w:left w:val="single" w:sz="4" w:space="0" w:color="auto"/>
              <w:bottom w:val="single" w:sz="4" w:space="0" w:color="auto"/>
            </w:tcBorders>
            <w:vAlign w:val="center"/>
          </w:tcPr>
          <w:p w:rsidR="00B956A7" w:rsidRPr="005B7F51" w:rsidRDefault="00F209EB" w:rsidP="00482802">
            <w:pPr>
              <w:spacing w:before="120" w:after="120"/>
              <w:jc w:val="both"/>
            </w:pPr>
            <w:r>
              <w:t>Staff presented an update to the 2020 Operating Budget, r</w:t>
            </w:r>
            <w:r w:rsidR="00482802">
              <w:t>eflecting new information that w</w:t>
            </w:r>
            <w:r>
              <w:t>as added as it bec</w:t>
            </w:r>
            <w:r w:rsidR="00482802">
              <w:t xml:space="preserve">ame </w:t>
            </w:r>
            <w:r>
              <w:t xml:space="preserve">available. </w:t>
            </w:r>
            <w:r w:rsidR="00482802">
              <w:t>The projected change in net assets of ($1,747) is less than previously projected and deemed rather remarkable under the circumstances.</w:t>
            </w:r>
          </w:p>
        </w:tc>
      </w:tr>
      <w:tr w:rsidR="00F209EB" w:rsidRPr="001E0050" w:rsidTr="00482802">
        <w:trPr>
          <w:trHeight w:val="1295"/>
        </w:trPr>
        <w:tc>
          <w:tcPr>
            <w:tcW w:w="1440" w:type="dxa"/>
            <w:tcBorders>
              <w:top w:val="single" w:sz="4" w:space="0" w:color="auto"/>
              <w:left w:val="single" w:sz="8" w:space="0" w:color="auto"/>
              <w:bottom w:val="single" w:sz="4" w:space="0" w:color="auto"/>
              <w:right w:val="single" w:sz="4" w:space="0" w:color="auto"/>
            </w:tcBorders>
            <w:vAlign w:val="center"/>
          </w:tcPr>
          <w:p w:rsidR="00F209EB" w:rsidRDefault="00F209EB" w:rsidP="009F565B">
            <w:r>
              <w:t>Proposed 2021 Operating Budget</w:t>
            </w:r>
          </w:p>
        </w:tc>
        <w:tc>
          <w:tcPr>
            <w:tcW w:w="13140" w:type="dxa"/>
            <w:gridSpan w:val="2"/>
            <w:tcBorders>
              <w:top w:val="single" w:sz="4" w:space="0" w:color="auto"/>
              <w:left w:val="single" w:sz="4" w:space="0" w:color="auto"/>
              <w:bottom w:val="single" w:sz="4" w:space="0" w:color="auto"/>
            </w:tcBorders>
            <w:vAlign w:val="center"/>
          </w:tcPr>
          <w:p w:rsidR="00F209EB" w:rsidRPr="005B7F51" w:rsidRDefault="00F209EB" w:rsidP="00482802">
            <w:pPr>
              <w:spacing w:before="120" w:after="120"/>
              <w:jc w:val="both"/>
            </w:pPr>
            <w:r>
              <w:t>Staff presented a spending proposal for the 2021, highlighting the assumptions upon which they relied when creating it. Claire emphasized th</w:t>
            </w:r>
            <w:r w:rsidR="00482802">
              <w:t xml:space="preserve">at the budget will be fluid and </w:t>
            </w:r>
            <w:r>
              <w:t xml:space="preserve">adjusted several times as new and better information becomes available.  PJ Keeler recommended adding a column with the adjusted 2020 operating budget alongside that for 2021, which will help board members to compare the two; staff will happily make that addition. </w:t>
            </w:r>
            <w:r w:rsidRPr="00F209EB">
              <w:rPr>
                <w:b/>
              </w:rPr>
              <w:t>Jack Mabb made a motion to recommend this budget for approval to the Entire Board</w:t>
            </w:r>
            <w:r w:rsidR="00482802">
              <w:rPr>
                <w:b/>
              </w:rPr>
              <w:t xml:space="preserve">; </w:t>
            </w:r>
            <w:r w:rsidRPr="00F209EB">
              <w:rPr>
                <w:b/>
              </w:rPr>
              <w:t>Bob Gibson seconded the motion and it was unanimously approved.</w:t>
            </w:r>
            <w:r>
              <w:t xml:space="preserve"> </w:t>
            </w:r>
          </w:p>
        </w:tc>
      </w:tr>
      <w:tr w:rsidR="00F209EB" w:rsidRPr="001E0050" w:rsidTr="00482802">
        <w:trPr>
          <w:trHeight w:val="1295"/>
        </w:trPr>
        <w:tc>
          <w:tcPr>
            <w:tcW w:w="1440" w:type="dxa"/>
            <w:tcBorders>
              <w:top w:val="single" w:sz="4" w:space="0" w:color="auto"/>
              <w:left w:val="single" w:sz="8" w:space="0" w:color="auto"/>
              <w:bottom w:val="single" w:sz="4" w:space="0" w:color="auto"/>
              <w:right w:val="single" w:sz="4" w:space="0" w:color="auto"/>
            </w:tcBorders>
            <w:vAlign w:val="center"/>
          </w:tcPr>
          <w:p w:rsidR="00F209EB" w:rsidRDefault="00F209EB" w:rsidP="009F565B">
            <w:r>
              <w:t>Approval to disposition vehicle</w:t>
            </w:r>
          </w:p>
        </w:tc>
        <w:tc>
          <w:tcPr>
            <w:tcW w:w="13140" w:type="dxa"/>
            <w:gridSpan w:val="2"/>
            <w:tcBorders>
              <w:top w:val="single" w:sz="4" w:space="0" w:color="auto"/>
              <w:left w:val="single" w:sz="4" w:space="0" w:color="auto"/>
              <w:bottom w:val="single" w:sz="4" w:space="0" w:color="auto"/>
            </w:tcBorders>
            <w:vAlign w:val="center"/>
          </w:tcPr>
          <w:p w:rsidR="00F209EB" w:rsidRPr="005B7F51" w:rsidRDefault="00F209EB" w:rsidP="00694DA0">
            <w:pPr>
              <w:spacing w:before="120" w:after="120"/>
              <w:jc w:val="both"/>
            </w:pPr>
            <w:r>
              <w:t>Staff requested permission to disposition a 201</w:t>
            </w:r>
            <w:r w:rsidR="00694DA0">
              <w:t>4</w:t>
            </w:r>
            <w:bookmarkStart w:id="0" w:name="_GoBack"/>
            <w:bookmarkEnd w:id="0"/>
            <w:r>
              <w:t xml:space="preserve"> Dodge Caravan via Auctions International. </w:t>
            </w:r>
            <w:r w:rsidRPr="00F209EB">
              <w:rPr>
                <w:b/>
              </w:rPr>
              <w:t>PJ Keeler made a motion to sell the vehicle</w:t>
            </w:r>
            <w:r w:rsidR="00482802">
              <w:rPr>
                <w:b/>
              </w:rPr>
              <w:t>; Kevin McDonald seconded the motion</w:t>
            </w:r>
            <w:r w:rsidRPr="00F209EB">
              <w:rPr>
                <w:b/>
              </w:rPr>
              <w:t xml:space="preserve"> and it was unanimously approved.</w:t>
            </w:r>
            <w:r>
              <w:t xml:space="preserve"> </w:t>
            </w:r>
          </w:p>
        </w:tc>
      </w:tr>
      <w:tr w:rsidR="00F209EB" w:rsidRPr="001E0050" w:rsidTr="00482802">
        <w:trPr>
          <w:trHeight w:val="1295"/>
        </w:trPr>
        <w:tc>
          <w:tcPr>
            <w:tcW w:w="1440" w:type="dxa"/>
            <w:tcBorders>
              <w:top w:val="single" w:sz="4" w:space="0" w:color="auto"/>
              <w:left w:val="single" w:sz="8" w:space="0" w:color="auto"/>
              <w:bottom w:val="single" w:sz="4" w:space="0" w:color="auto"/>
              <w:right w:val="single" w:sz="4" w:space="0" w:color="auto"/>
            </w:tcBorders>
            <w:vAlign w:val="center"/>
          </w:tcPr>
          <w:p w:rsidR="00F209EB" w:rsidRDefault="00F209EB" w:rsidP="00F209EB">
            <w:r>
              <w:t>Financial Reports</w:t>
            </w:r>
          </w:p>
          <w:p w:rsidR="00F209EB" w:rsidRDefault="00F209EB" w:rsidP="00F209EB">
            <w:r>
              <w:tab/>
              <w:t xml:space="preserve"> </w:t>
            </w:r>
          </w:p>
        </w:tc>
        <w:tc>
          <w:tcPr>
            <w:tcW w:w="13140" w:type="dxa"/>
            <w:gridSpan w:val="2"/>
            <w:tcBorders>
              <w:top w:val="single" w:sz="4" w:space="0" w:color="auto"/>
              <w:left w:val="single" w:sz="4" w:space="0" w:color="auto"/>
              <w:bottom w:val="single" w:sz="4" w:space="0" w:color="auto"/>
            </w:tcBorders>
            <w:vAlign w:val="center"/>
          </w:tcPr>
          <w:p w:rsidR="00F209EB" w:rsidRPr="005B7F51" w:rsidRDefault="00F209EB" w:rsidP="00F209EB">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October 31, 2020. Additionally, John Ray offered his “Fiscal Highlights” report.  </w:t>
            </w:r>
            <w:r w:rsidR="00482802">
              <w:t xml:space="preserve">As the cash position remains strong, it was suggested that staff consider moving excess cash into the investment account. </w:t>
            </w:r>
          </w:p>
        </w:tc>
      </w:tr>
      <w:tr w:rsidR="00F209EB" w:rsidRPr="001E0050" w:rsidTr="00482802">
        <w:trPr>
          <w:trHeight w:val="413"/>
        </w:trPr>
        <w:tc>
          <w:tcPr>
            <w:tcW w:w="1440" w:type="dxa"/>
            <w:tcBorders>
              <w:top w:val="single" w:sz="4" w:space="0" w:color="auto"/>
              <w:left w:val="single" w:sz="8" w:space="0" w:color="auto"/>
              <w:bottom w:val="single" w:sz="4" w:space="0" w:color="auto"/>
              <w:right w:val="single" w:sz="4" w:space="0" w:color="auto"/>
            </w:tcBorders>
            <w:vAlign w:val="center"/>
          </w:tcPr>
          <w:p w:rsidR="00F209EB" w:rsidRPr="001E0050" w:rsidRDefault="00F209EB" w:rsidP="00F209EB">
            <w:pPr>
              <w:jc w:val="both"/>
            </w:pPr>
            <w:r>
              <w:t>Next meeting</w:t>
            </w:r>
          </w:p>
        </w:tc>
        <w:tc>
          <w:tcPr>
            <w:tcW w:w="13140" w:type="dxa"/>
            <w:gridSpan w:val="2"/>
            <w:tcBorders>
              <w:top w:val="single" w:sz="4" w:space="0" w:color="auto"/>
              <w:left w:val="single" w:sz="4" w:space="0" w:color="auto"/>
              <w:bottom w:val="single" w:sz="4" w:space="0" w:color="auto"/>
            </w:tcBorders>
            <w:vAlign w:val="center"/>
          </w:tcPr>
          <w:p w:rsidR="00F209EB" w:rsidRPr="005C1500" w:rsidRDefault="00482802" w:rsidP="00482802">
            <w:pPr>
              <w:spacing w:before="120" w:after="120"/>
              <w:jc w:val="both"/>
              <w:rPr>
                <w:b/>
              </w:rPr>
            </w:pPr>
            <w:r>
              <w:rPr>
                <w:b/>
              </w:rPr>
              <w:t xml:space="preserve">Date, Time &amp; Location:  </w:t>
            </w:r>
            <w:r w:rsidR="00F209EB" w:rsidRPr="005C1500">
              <w:rPr>
                <w:b/>
              </w:rPr>
              <w:t xml:space="preserve">Tuesday, </w:t>
            </w:r>
            <w:r w:rsidR="00F209EB">
              <w:rPr>
                <w:b/>
              </w:rPr>
              <w:t>January 26</w:t>
            </w:r>
            <w:r w:rsidR="00F209EB" w:rsidRPr="00F209EB">
              <w:rPr>
                <w:b/>
                <w:vertAlign w:val="superscript"/>
              </w:rPr>
              <w:t>th</w:t>
            </w:r>
            <w:r w:rsidR="00F209EB">
              <w:rPr>
                <w:b/>
              </w:rPr>
              <w:t xml:space="preserve">, 2020 </w:t>
            </w:r>
            <w:r w:rsidR="00F209EB" w:rsidRPr="005C1500">
              <w:rPr>
                <w:b/>
              </w:rPr>
              <w:t>at 3:00 p.m.</w:t>
            </w:r>
            <w:r>
              <w:rPr>
                <w:b/>
              </w:rPr>
              <w:t xml:space="preserve"> </w:t>
            </w:r>
            <w:r w:rsidR="00F209EB">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39D3"/>
    <w:rsid w:val="00244475"/>
    <w:rsid w:val="00247C27"/>
    <w:rsid w:val="00252DCF"/>
    <w:rsid w:val="0025371D"/>
    <w:rsid w:val="002620DF"/>
    <w:rsid w:val="00263074"/>
    <w:rsid w:val="0026754F"/>
    <w:rsid w:val="002901B2"/>
    <w:rsid w:val="002A1577"/>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72BD2"/>
    <w:rsid w:val="00384A05"/>
    <w:rsid w:val="00385B16"/>
    <w:rsid w:val="003918B4"/>
    <w:rsid w:val="003A2E4C"/>
    <w:rsid w:val="003D5D2B"/>
    <w:rsid w:val="003E0374"/>
    <w:rsid w:val="003F79C4"/>
    <w:rsid w:val="00412DDD"/>
    <w:rsid w:val="00413C58"/>
    <w:rsid w:val="004159EC"/>
    <w:rsid w:val="00421F8B"/>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6584"/>
    <w:rsid w:val="005509C2"/>
    <w:rsid w:val="0055133D"/>
    <w:rsid w:val="00564F43"/>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6211B"/>
    <w:rsid w:val="006764D2"/>
    <w:rsid w:val="00690525"/>
    <w:rsid w:val="00694DA0"/>
    <w:rsid w:val="006B0651"/>
    <w:rsid w:val="006C5404"/>
    <w:rsid w:val="006C59E1"/>
    <w:rsid w:val="006C7D2A"/>
    <w:rsid w:val="006D2900"/>
    <w:rsid w:val="006D2E29"/>
    <w:rsid w:val="006D5967"/>
    <w:rsid w:val="006E7DAB"/>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76AC"/>
    <w:rsid w:val="008C0136"/>
    <w:rsid w:val="008C4914"/>
    <w:rsid w:val="008C496F"/>
    <w:rsid w:val="008D1778"/>
    <w:rsid w:val="008D54E4"/>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070AB"/>
    <w:rsid w:val="00B13FB5"/>
    <w:rsid w:val="00B241BE"/>
    <w:rsid w:val="00B44232"/>
    <w:rsid w:val="00B50F4B"/>
    <w:rsid w:val="00B568C6"/>
    <w:rsid w:val="00B57C39"/>
    <w:rsid w:val="00B60BAB"/>
    <w:rsid w:val="00B71B2B"/>
    <w:rsid w:val="00B75C3E"/>
    <w:rsid w:val="00B816D9"/>
    <w:rsid w:val="00B93F06"/>
    <w:rsid w:val="00B94A16"/>
    <w:rsid w:val="00B956A7"/>
    <w:rsid w:val="00B9717B"/>
    <w:rsid w:val="00BC050C"/>
    <w:rsid w:val="00BC6402"/>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43C7F"/>
    <w:rsid w:val="00F5638E"/>
    <w:rsid w:val="00F63E94"/>
    <w:rsid w:val="00F64AE7"/>
    <w:rsid w:val="00F744A2"/>
    <w:rsid w:val="00F77F36"/>
    <w:rsid w:val="00F8148F"/>
    <w:rsid w:val="00F84306"/>
    <w:rsid w:val="00FA118E"/>
    <w:rsid w:val="00FA1CEE"/>
    <w:rsid w:val="00FA6B27"/>
    <w:rsid w:val="00FB7AFF"/>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D2F5"/>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4239-358C-409D-8E68-0252FB28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2020-11-24T22:14:00Z</dcterms:created>
  <dcterms:modified xsi:type="dcterms:W3CDTF">2020-12-03T14:37:00Z</dcterms:modified>
</cp:coreProperties>
</file>