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90"/>
        <w:gridCol w:w="5670"/>
      </w:tblGrid>
      <w:tr w:rsidR="006D2E29" w:rsidRPr="001E0050" w:rsidTr="009F565B">
        <w:tc>
          <w:tcPr>
            <w:tcW w:w="8910" w:type="dxa"/>
            <w:gridSpan w:val="2"/>
          </w:tcPr>
          <w:p w:rsidR="006D2E29" w:rsidRPr="001E0050" w:rsidRDefault="006D2E29" w:rsidP="009F565B">
            <w:pPr>
              <w:jc w:val="both"/>
              <w:rPr>
                <w:b/>
              </w:rPr>
            </w:pPr>
            <w:r w:rsidRPr="001E0050">
              <w:rPr>
                <w:b/>
              </w:rPr>
              <w:t xml:space="preserve">Committee:   </w:t>
            </w:r>
            <w:r w:rsidR="00E91034" w:rsidRPr="001E0050">
              <w:rPr>
                <w:b/>
              </w:rPr>
              <w:t>Budget and Finance</w:t>
            </w:r>
          </w:p>
        </w:tc>
        <w:tc>
          <w:tcPr>
            <w:tcW w:w="5670" w:type="dxa"/>
          </w:tcPr>
          <w:p w:rsidR="0055133D" w:rsidRPr="001E0050" w:rsidRDefault="006D2E29" w:rsidP="009F565B">
            <w:pPr>
              <w:jc w:val="both"/>
              <w:rPr>
                <w:b/>
              </w:rPr>
            </w:pPr>
            <w:r w:rsidRPr="001E0050">
              <w:rPr>
                <w:b/>
              </w:rPr>
              <w:t xml:space="preserve">Date:    </w:t>
            </w:r>
            <w:r w:rsidR="00FE68AC">
              <w:rPr>
                <w:b/>
              </w:rPr>
              <w:t>June 2</w:t>
            </w:r>
            <w:r w:rsidR="003D5D2B">
              <w:rPr>
                <w:b/>
              </w:rPr>
              <w:t>, 2020</w:t>
            </w:r>
          </w:p>
        </w:tc>
      </w:tr>
      <w:tr w:rsidR="00D81AA6" w:rsidRPr="001E0050" w:rsidTr="009F565B">
        <w:trPr>
          <w:trHeight w:val="275"/>
        </w:trPr>
        <w:tc>
          <w:tcPr>
            <w:tcW w:w="8910" w:type="dxa"/>
            <w:gridSpan w:val="2"/>
            <w:vMerge w:val="restart"/>
            <w:vAlign w:val="center"/>
          </w:tcPr>
          <w:p w:rsidR="009F565B" w:rsidRDefault="00D81AA6" w:rsidP="009F565B">
            <w:pPr>
              <w:jc w:val="both"/>
              <w:rPr>
                <w:b/>
              </w:rPr>
            </w:pPr>
            <w:r w:rsidRPr="001E0050">
              <w:rPr>
                <w:b/>
              </w:rPr>
              <w:t>Board Members Attending:</w:t>
            </w:r>
            <w:r w:rsidR="004159EC">
              <w:rPr>
                <w:b/>
              </w:rPr>
              <w:t xml:space="preserve"> </w:t>
            </w:r>
            <w:r w:rsidR="007453E8">
              <w:rPr>
                <w:b/>
              </w:rPr>
              <w:t>Jack Mabb</w:t>
            </w:r>
            <w:r w:rsidR="00CB60CB">
              <w:rPr>
                <w:b/>
              </w:rPr>
              <w:t xml:space="preserve"> (Chair)</w:t>
            </w:r>
            <w:r w:rsidR="007453E8">
              <w:rPr>
                <w:b/>
              </w:rPr>
              <w:t xml:space="preserve">, PJ Keeler, Ken Stall, Casey O’Brien </w:t>
            </w:r>
          </w:p>
          <w:p w:rsidR="001A7704" w:rsidRPr="001E0050" w:rsidRDefault="00D81AA6" w:rsidP="009F565B">
            <w:pPr>
              <w:jc w:val="both"/>
            </w:pPr>
            <w:r w:rsidRPr="001E0050">
              <w:rPr>
                <w:b/>
              </w:rPr>
              <w:t xml:space="preserve">Board Members Absent:  </w:t>
            </w:r>
            <w:r w:rsidR="007453E8">
              <w:rPr>
                <w:b/>
              </w:rPr>
              <w:t>Bob Gibson and Kevin McDonald</w:t>
            </w:r>
          </w:p>
        </w:tc>
        <w:tc>
          <w:tcPr>
            <w:tcW w:w="5670" w:type="dxa"/>
          </w:tcPr>
          <w:p w:rsidR="00D81AA6" w:rsidRPr="001E0050" w:rsidRDefault="00D81AA6" w:rsidP="009F565B">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9F565B">
        <w:trPr>
          <w:trHeight w:val="296"/>
        </w:trPr>
        <w:tc>
          <w:tcPr>
            <w:tcW w:w="8910" w:type="dxa"/>
            <w:gridSpan w:val="2"/>
            <w:vMerge/>
          </w:tcPr>
          <w:p w:rsidR="00D81AA6" w:rsidRPr="001E0050" w:rsidRDefault="00D81AA6" w:rsidP="009F565B">
            <w:pPr>
              <w:jc w:val="both"/>
              <w:rPr>
                <w:b/>
              </w:rPr>
            </w:pPr>
          </w:p>
        </w:tc>
        <w:tc>
          <w:tcPr>
            <w:tcW w:w="5670" w:type="dxa"/>
          </w:tcPr>
          <w:p w:rsidR="00D81AA6" w:rsidRPr="001E0050" w:rsidRDefault="00D81AA6" w:rsidP="009F565B">
            <w:pPr>
              <w:jc w:val="both"/>
              <w:rPr>
                <w:b/>
              </w:rPr>
            </w:pPr>
            <w:r w:rsidRPr="001E0050">
              <w:rPr>
                <w:b/>
              </w:rPr>
              <w:t>Staff Members Attending: Claire Parde</w:t>
            </w:r>
            <w:r w:rsidR="004E0E27">
              <w:rPr>
                <w:b/>
              </w:rPr>
              <w:t xml:space="preserve"> and John Ray</w:t>
            </w:r>
          </w:p>
        </w:tc>
      </w:tr>
      <w:tr w:rsidR="006D2E29" w:rsidRPr="001E0050" w:rsidTr="00982840">
        <w:trPr>
          <w:trHeight w:val="345"/>
        </w:trPr>
        <w:tc>
          <w:tcPr>
            <w:tcW w:w="1620"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2960"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982840">
        <w:trPr>
          <w:trHeight w:val="1520"/>
        </w:trPr>
        <w:tc>
          <w:tcPr>
            <w:tcW w:w="1620" w:type="dxa"/>
            <w:tcBorders>
              <w:top w:val="single" w:sz="4" w:space="0" w:color="auto"/>
              <w:left w:val="single" w:sz="8" w:space="0" w:color="auto"/>
              <w:bottom w:val="single" w:sz="4" w:space="0" w:color="auto"/>
              <w:right w:val="single" w:sz="4" w:space="0" w:color="auto"/>
            </w:tcBorders>
            <w:vAlign w:val="center"/>
          </w:tcPr>
          <w:p w:rsidR="000E1E5A" w:rsidRDefault="00C30993" w:rsidP="009F565B">
            <w:r>
              <w:t>Update on Investment Account</w:t>
            </w:r>
          </w:p>
        </w:tc>
        <w:tc>
          <w:tcPr>
            <w:tcW w:w="12960" w:type="dxa"/>
            <w:gridSpan w:val="2"/>
            <w:tcBorders>
              <w:top w:val="single" w:sz="4" w:space="0" w:color="auto"/>
              <w:left w:val="single" w:sz="4" w:space="0" w:color="auto"/>
              <w:bottom w:val="single" w:sz="4" w:space="0" w:color="auto"/>
            </w:tcBorders>
            <w:vAlign w:val="center"/>
          </w:tcPr>
          <w:p w:rsidR="00646DDE" w:rsidRDefault="00E722FC" w:rsidP="00894980">
            <w:pPr>
              <w:spacing w:before="120" w:after="120"/>
              <w:jc w:val="both"/>
            </w:pPr>
            <w:r>
              <w:t>TJ Pellitter</w:t>
            </w:r>
            <w:r w:rsidR="00CC41D1">
              <w:t xml:space="preserve">i, the </w:t>
            </w:r>
            <w:r w:rsidR="00C30993">
              <w:t>manager of</w:t>
            </w:r>
            <w:r w:rsidR="00CC41D1">
              <w:t xml:space="preserve"> the agency’s </w:t>
            </w:r>
            <w:r w:rsidR="00C30993">
              <w:t>investment</w:t>
            </w:r>
            <w:r w:rsidR="007C01B5">
              <w:t xml:space="preserve"> account,</w:t>
            </w:r>
            <w:r w:rsidR="00CC41D1">
              <w:t xml:space="preserve"> provide</w:t>
            </w:r>
            <w:r w:rsidR="007C01B5">
              <w:t>d</w:t>
            </w:r>
            <w:r w:rsidR="00CC41D1">
              <w:t xml:space="preserve"> an update to the Committee.  </w:t>
            </w:r>
            <w:r w:rsidR="00C30993">
              <w:t>TJ reported that when he took over the account while the market was high, he initially</w:t>
            </w:r>
            <w:r w:rsidR="00CC41D1">
              <w:t xml:space="preserve"> weight</w:t>
            </w:r>
            <w:r w:rsidR="00C30993">
              <w:t>ed the investments more heavily to fixed income (in the form of bonds) and less to equities.</w:t>
            </w:r>
            <w:r w:rsidR="00CC41D1">
              <w:t xml:space="preserve">  When the market dropped, he rebalanced the account, purchasing more equities while the price was low, and having fewer fixed income investments. </w:t>
            </w:r>
            <w:r w:rsidR="00C30993">
              <w:t>TJ is pleased that he has managed to buffer the brunt of market losses on the account; for instance, when the market was dow</w:t>
            </w:r>
            <w:bookmarkStart w:id="0" w:name="_GoBack"/>
            <w:bookmarkEnd w:id="0"/>
            <w:r w:rsidR="00C30993">
              <w:t xml:space="preserve">n about 8 percentage points, the account was down about 4. </w:t>
            </w:r>
          </w:p>
          <w:p w:rsidR="00894980" w:rsidRPr="003A2E4C" w:rsidRDefault="00894980" w:rsidP="00894980">
            <w:pPr>
              <w:spacing w:before="120" w:after="120"/>
              <w:jc w:val="both"/>
              <w:rPr>
                <w:b/>
              </w:rPr>
            </w:pPr>
            <w:r>
              <w:t xml:space="preserve">TJ also manages the agency’s 401(k) account.  As previously reported, TJ recommended we engage a 338 to serve as a fiduciary on the account, which would help to mitigate the risk associated with IRS and DOL compliance, as well as civil suits. Subsequently, Claire executed an agreement with Iron Financial, a 338 company.  A review of investments by Iron is expected in early July. </w:t>
            </w:r>
          </w:p>
        </w:tc>
      </w:tr>
      <w:tr w:rsidR="00E722FC" w:rsidRPr="001E0050" w:rsidTr="00982840">
        <w:trPr>
          <w:trHeight w:val="935"/>
        </w:trPr>
        <w:tc>
          <w:tcPr>
            <w:tcW w:w="1620" w:type="dxa"/>
            <w:tcBorders>
              <w:top w:val="single" w:sz="4" w:space="0" w:color="auto"/>
              <w:left w:val="single" w:sz="8" w:space="0" w:color="auto"/>
              <w:bottom w:val="single" w:sz="4" w:space="0" w:color="auto"/>
              <w:right w:val="single" w:sz="4" w:space="0" w:color="auto"/>
            </w:tcBorders>
            <w:vAlign w:val="center"/>
          </w:tcPr>
          <w:p w:rsidR="00E722FC" w:rsidRDefault="009F565B" w:rsidP="009F565B">
            <w:r>
              <w:t xml:space="preserve">Changes to </w:t>
            </w:r>
            <w:r w:rsidR="00E722FC">
              <w:t>Investment Policy</w:t>
            </w:r>
          </w:p>
        </w:tc>
        <w:tc>
          <w:tcPr>
            <w:tcW w:w="12960" w:type="dxa"/>
            <w:gridSpan w:val="2"/>
            <w:tcBorders>
              <w:top w:val="single" w:sz="4" w:space="0" w:color="auto"/>
              <w:left w:val="single" w:sz="4" w:space="0" w:color="auto"/>
              <w:bottom w:val="single" w:sz="4" w:space="0" w:color="auto"/>
            </w:tcBorders>
            <w:vAlign w:val="center"/>
          </w:tcPr>
          <w:p w:rsidR="00E722FC" w:rsidRDefault="00E722FC" w:rsidP="00894980">
            <w:pPr>
              <w:spacing w:before="120" w:after="120"/>
              <w:jc w:val="both"/>
            </w:pPr>
            <w:r>
              <w:t>The Committee was provided with a document outlining proposed changes to the Investment Policy</w:t>
            </w:r>
            <w:r w:rsidR="00C30993">
              <w:t xml:space="preserve">, most of which had been supplied by TJ Pellitteri.  </w:t>
            </w:r>
            <w:r w:rsidR="00C30993" w:rsidRPr="00C30993">
              <w:rPr>
                <w:b/>
              </w:rPr>
              <w:t>Casey O</w:t>
            </w:r>
            <w:r w:rsidRPr="00C30993">
              <w:rPr>
                <w:b/>
              </w:rPr>
              <w:t>’Brien made</w:t>
            </w:r>
            <w:r w:rsidRPr="00E722FC">
              <w:rPr>
                <w:b/>
              </w:rPr>
              <w:t xml:space="preserve"> a motion to recommend these changes for approval to the Board.  The motion was seconded by PJ Keeler and unanimously approved. </w:t>
            </w:r>
          </w:p>
        </w:tc>
      </w:tr>
      <w:tr w:rsidR="00B956A7" w:rsidRPr="001E0050" w:rsidTr="00982840">
        <w:trPr>
          <w:trHeight w:val="2330"/>
        </w:trPr>
        <w:tc>
          <w:tcPr>
            <w:tcW w:w="1620" w:type="dxa"/>
            <w:tcBorders>
              <w:top w:val="single" w:sz="4" w:space="0" w:color="auto"/>
              <w:left w:val="single" w:sz="8" w:space="0" w:color="auto"/>
              <w:bottom w:val="single" w:sz="4" w:space="0" w:color="auto"/>
              <w:right w:val="single" w:sz="4" w:space="0" w:color="auto"/>
            </w:tcBorders>
            <w:vAlign w:val="center"/>
          </w:tcPr>
          <w:p w:rsidR="00B956A7" w:rsidRDefault="00B956A7" w:rsidP="009F565B">
            <w:r>
              <w:t>Report on Paycheck Protection Program</w:t>
            </w:r>
          </w:p>
        </w:tc>
        <w:tc>
          <w:tcPr>
            <w:tcW w:w="12960" w:type="dxa"/>
            <w:gridSpan w:val="2"/>
            <w:tcBorders>
              <w:top w:val="single" w:sz="4" w:space="0" w:color="auto"/>
              <w:left w:val="single" w:sz="4" w:space="0" w:color="auto"/>
              <w:bottom w:val="single" w:sz="4" w:space="0" w:color="auto"/>
            </w:tcBorders>
            <w:vAlign w:val="center"/>
          </w:tcPr>
          <w:p w:rsidR="00B956A7" w:rsidRDefault="00B956A7" w:rsidP="00894980">
            <w:pPr>
              <w:spacing w:before="120" w:after="120"/>
              <w:jc w:val="both"/>
            </w:pPr>
            <w:r>
              <w:t>Claire reported that, following approval of the Executive Committee at its meeting of May 6</w:t>
            </w:r>
            <w:r w:rsidRPr="00B956A7">
              <w:rPr>
                <w:vertAlign w:val="superscript"/>
              </w:rPr>
              <w:t>th</w:t>
            </w:r>
            <w:r>
              <w:t>, she applied for a Paycheck Protection Program (PPP) loan from the Bank of Greene County.  The loan, in the amount of $197,400, was received on Friday, May 8</w:t>
            </w:r>
            <w:r w:rsidRPr="00B956A7">
              <w:rPr>
                <w:vertAlign w:val="superscript"/>
              </w:rPr>
              <w:t>th</w:t>
            </w:r>
            <w:r>
              <w:t>.  The entirety of this amount was recorded as a loan (liability), given that forgiveness i</w:t>
            </w:r>
            <w:r w:rsidR="009F565B">
              <w:t>n any amount i</w:t>
            </w:r>
            <w:r>
              <w:t>s not certain and</w:t>
            </w:r>
            <w:r w:rsidR="009F565B">
              <w:t>, for certain,</w:t>
            </w:r>
            <w:r>
              <w:t xml:space="preserve"> will not be complete.  Claire reported that, while she views the funds as a loan-interest loan</w:t>
            </w:r>
            <w:r w:rsidR="009F565B">
              <w:t xml:space="preserve"> for the purposes of managing cash flow at the agency</w:t>
            </w:r>
            <w:r>
              <w:t xml:space="preserve">, the State appears to be viewing it </w:t>
            </w:r>
            <w:r w:rsidR="009F565B">
              <w:t xml:space="preserve">as a grant AND </w:t>
            </w:r>
            <w:r>
              <w:t>an opportunity to offset its contractual obligations</w:t>
            </w:r>
            <w:r w:rsidR="009F565B">
              <w:t>.  T</w:t>
            </w:r>
            <w:r>
              <w:t xml:space="preserve">here have already been </w:t>
            </w:r>
            <w:r w:rsidR="009F565B">
              <w:t>some patchy references, either directly from our Contract Managers at the NYSDOH or through the grapevine, t</w:t>
            </w:r>
            <w:r>
              <w:t xml:space="preserve">o “double-dipping” and modifying our contract budgets to reduce the payroll expenses that will be absorbed by the PPP. </w:t>
            </w:r>
            <w:r w:rsidR="009F565B">
              <w:t xml:space="preserve"> At this time, we anticipate that guidance about the interplay of PPP loan funds and contract dollars will be forthcoming from the state. </w:t>
            </w:r>
          </w:p>
        </w:tc>
      </w:tr>
      <w:tr w:rsidR="00B956A7" w:rsidRPr="001E0050" w:rsidTr="00982840">
        <w:trPr>
          <w:trHeight w:val="1025"/>
        </w:trPr>
        <w:tc>
          <w:tcPr>
            <w:tcW w:w="1620" w:type="dxa"/>
            <w:tcBorders>
              <w:top w:val="single" w:sz="4" w:space="0" w:color="auto"/>
              <w:left w:val="single" w:sz="8" w:space="0" w:color="auto"/>
              <w:bottom w:val="single" w:sz="4" w:space="0" w:color="auto"/>
              <w:right w:val="single" w:sz="4" w:space="0" w:color="auto"/>
            </w:tcBorders>
            <w:vAlign w:val="center"/>
          </w:tcPr>
          <w:p w:rsidR="00B956A7" w:rsidRDefault="00B956A7" w:rsidP="009F565B">
            <w:r>
              <w:t>Enterprise Fleet Management</w:t>
            </w:r>
          </w:p>
        </w:tc>
        <w:tc>
          <w:tcPr>
            <w:tcW w:w="12960" w:type="dxa"/>
            <w:gridSpan w:val="2"/>
            <w:tcBorders>
              <w:top w:val="single" w:sz="4" w:space="0" w:color="auto"/>
              <w:left w:val="single" w:sz="4" w:space="0" w:color="auto"/>
              <w:bottom w:val="single" w:sz="4" w:space="0" w:color="auto"/>
            </w:tcBorders>
            <w:vAlign w:val="center"/>
          </w:tcPr>
          <w:p w:rsidR="00B956A7" w:rsidRDefault="00B956A7" w:rsidP="00894980">
            <w:pPr>
              <w:spacing w:before="120" w:after="120"/>
              <w:jc w:val="both"/>
            </w:pPr>
            <w:r>
              <w:t>Claire reported that she and Jim Funk have bee</w:t>
            </w:r>
            <w:r w:rsidR="00D96FF1">
              <w:t xml:space="preserve">n exploring the possibility of </w:t>
            </w:r>
            <w:r w:rsidR="009F565B">
              <w:t>using</w:t>
            </w:r>
            <w:r>
              <w:t xml:space="preserve"> Enterprise Fleet Management</w:t>
            </w:r>
            <w:r w:rsidR="009F565B">
              <w:t xml:space="preserve"> (EFM) </w:t>
            </w:r>
            <w:r>
              <w:t xml:space="preserve">for the purpose of vehicle financing. Both PJ Keeler and Ken Stall have experience with </w:t>
            </w:r>
            <w:r w:rsidR="009F565B">
              <w:t xml:space="preserve">EFM and offered to share their experience, including the good points and </w:t>
            </w:r>
            <w:r>
              <w:t xml:space="preserve">drawbacks of the model. </w:t>
            </w:r>
            <w:r w:rsidR="00D96FF1">
              <w:t>Claire will follow up.</w:t>
            </w:r>
          </w:p>
        </w:tc>
      </w:tr>
      <w:tr w:rsidR="00B956A7" w:rsidRPr="001E0050" w:rsidTr="00982840">
        <w:trPr>
          <w:trHeight w:val="1295"/>
        </w:trPr>
        <w:tc>
          <w:tcPr>
            <w:tcW w:w="1620" w:type="dxa"/>
            <w:tcBorders>
              <w:top w:val="single" w:sz="4" w:space="0" w:color="auto"/>
              <w:left w:val="single" w:sz="8" w:space="0" w:color="auto"/>
              <w:bottom w:val="single" w:sz="4" w:space="0" w:color="auto"/>
              <w:right w:val="single" w:sz="4" w:space="0" w:color="auto"/>
            </w:tcBorders>
            <w:vAlign w:val="center"/>
          </w:tcPr>
          <w:p w:rsidR="00B956A7" w:rsidRDefault="00B956A7" w:rsidP="009F565B">
            <w:r>
              <w:t>Financial Reports</w:t>
            </w:r>
          </w:p>
          <w:p w:rsidR="00B956A7" w:rsidRDefault="00B956A7" w:rsidP="009F565B">
            <w:r>
              <w:tab/>
              <w:t xml:space="preserve"> </w:t>
            </w:r>
          </w:p>
        </w:tc>
        <w:tc>
          <w:tcPr>
            <w:tcW w:w="12960" w:type="dxa"/>
            <w:gridSpan w:val="2"/>
            <w:tcBorders>
              <w:top w:val="single" w:sz="4" w:space="0" w:color="auto"/>
              <w:left w:val="single" w:sz="4" w:space="0" w:color="auto"/>
              <w:bottom w:val="single" w:sz="4" w:space="0" w:color="auto"/>
            </w:tcBorders>
            <w:vAlign w:val="center"/>
          </w:tcPr>
          <w:p w:rsidR="00B956A7" w:rsidRPr="005B7F51" w:rsidRDefault="00B956A7" w:rsidP="00894980">
            <w:pPr>
              <w:spacing w:before="120" w:after="120"/>
              <w:jc w:val="both"/>
            </w:pPr>
            <w:r>
              <w:t>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April 30, 2020. Additionally, John Ray offered</w:t>
            </w:r>
            <w:r w:rsidR="009F565B">
              <w:t xml:space="preserve"> his “Fiscal Highlights” report.  </w:t>
            </w:r>
          </w:p>
        </w:tc>
      </w:tr>
      <w:tr w:rsidR="00B956A7" w:rsidRPr="001E0050" w:rsidTr="00982840">
        <w:trPr>
          <w:trHeight w:val="962"/>
        </w:trPr>
        <w:tc>
          <w:tcPr>
            <w:tcW w:w="1620" w:type="dxa"/>
            <w:tcBorders>
              <w:top w:val="single" w:sz="4" w:space="0" w:color="auto"/>
              <w:left w:val="single" w:sz="8" w:space="0" w:color="auto"/>
              <w:bottom w:val="single" w:sz="4" w:space="0" w:color="auto"/>
              <w:right w:val="single" w:sz="4" w:space="0" w:color="auto"/>
            </w:tcBorders>
            <w:vAlign w:val="center"/>
          </w:tcPr>
          <w:p w:rsidR="00B956A7" w:rsidRDefault="00B956A7" w:rsidP="009F565B">
            <w:pPr>
              <w:jc w:val="both"/>
            </w:pPr>
            <w:r>
              <w:lastRenderedPageBreak/>
              <w:t>Scenario Planning</w:t>
            </w:r>
          </w:p>
        </w:tc>
        <w:tc>
          <w:tcPr>
            <w:tcW w:w="12960" w:type="dxa"/>
            <w:gridSpan w:val="2"/>
            <w:tcBorders>
              <w:top w:val="single" w:sz="4" w:space="0" w:color="auto"/>
              <w:left w:val="single" w:sz="4" w:space="0" w:color="auto"/>
              <w:bottom w:val="single" w:sz="4" w:space="0" w:color="auto"/>
            </w:tcBorders>
            <w:vAlign w:val="center"/>
          </w:tcPr>
          <w:p w:rsidR="00B956A7" w:rsidRPr="00E722FC" w:rsidRDefault="00B956A7" w:rsidP="00894980">
            <w:pPr>
              <w:spacing w:before="120" w:after="120"/>
              <w:jc w:val="both"/>
            </w:pPr>
            <w:r w:rsidRPr="00E722FC">
              <w:t xml:space="preserve">The Committee recommended that staff conduct some “worst case scenario” planning, preparing a set of projections for the agency’s overall </w:t>
            </w:r>
            <w:r>
              <w:t xml:space="preserve">operating budget using </w:t>
            </w:r>
            <w:r w:rsidR="009F565B">
              <w:t xml:space="preserve">a combination of known facts and educated guesses.  </w:t>
            </w:r>
            <w:r>
              <w:t>That will be prepared by and presented at the next meeting.</w:t>
            </w:r>
          </w:p>
        </w:tc>
      </w:tr>
      <w:tr w:rsidR="00B956A7" w:rsidRPr="001E0050" w:rsidTr="00982840">
        <w:trPr>
          <w:trHeight w:val="413"/>
        </w:trPr>
        <w:tc>
          <w:tcPr>
            <w:tcW w:w="1620" w:type="dxa"/>
            <w:tcBorders>
              <w:top w:val="single" w:sz="4" w:space="0" w:color="auto"/>
              <w:left w:val="single" w:sz="8" w:space="0" w:color="auto"/>
              <w:bottom w:val="single" w:sz="4" w:space="0" w:color="auto"/>
              <w:right w:val="single" w:sz="4" w:space="0" w:color="auto"/>
            </w:tcBorders>
            <w:vAlign w:val="center"/>
          </w:tcPr>
          <w:p w:rsidR="00B956A7" w:rsidRPr="001E0050" w:rsidRDefault="00B956A7" w:rsidP="009F565B">
            <w:pPr>
              <w:jc w:val="both"/>
            </w:pPr>
            <w:r>
              <w:t>Next meeting</w:t>
            </w:r>
          </w:p>
        </w:tc>
        <w:tc>
          <w:tcPr>
            <w:tcW w:w="12960" w:type="dxa"/>
            <w:gridSpan w:val="2"/>
            <w:tcBorders>
              <w:top w:val="single" w:sz="4" w:space="0" w:color="auto"/>
              <w:left w:val="single" w:sz="4" w:space="0" w:color="auto"/>
              <w:bottom w:val="single" w:sz="4" w:space="0" w:color="auto"/>
            </w:tcBorders>
            <w:vAlign w:val="center"/>
          </w:tcPr>
          <w:p w:rsidR="00B956A7" w:rsidRPr="005C1500" w:rsidRDefault="00B956A7" w:rsidP="00894980">
            <w:pPr>
              <w:spacing w:before="120" w:after="120"/>
              <w:jc w:val="both"/>
              <w:rPr>
                <w:b/>
              </w:rPr>
            </w:pPr>
            <w:r w:rsidRPr="005C1500">
              <w:rPr>
                <w:b/>
              </w:rPr>
              <w:t xml:space="preserve">Tuesday, </w:t>
            </w:r>
            <w:r>
              <w:rPr>
                <w:b/>
              </w:rPr>
              <w:t>July 28</w:t>
            </w:r>
            <w:r w:rsidRPr="007453E8">
              <w:rPr>
                <w:b/>
                <w:vertAlign w:val="superscript"/>
              </w:rPr>
              <w:t>th</w:t>
            </w:r>
            <w:r>
              <w:rPr>
                <w:b/>
              </w:rPr>
              <w:t xml:space="preserve"> </w:t>
            </w:r>
            <w:r w:rsidRPr="005C1500">
              <w:rPr>
                <w:b/>
              </w:rPr>
              <w:t>at 3:00 p.m.</w:t>
            </w:r>
            <w:r>
              <w:rPr>
                <w:b/>
              </w:rPr>
              <w:t xml:space="preserve">  </w:t>
            </w:r>
            <w:r w:rsidRPr="007453E8">
              <w:rPr>
                <w:b/>
              </w:rPr>
              <w:t>Location TBD</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1"/>
  </w:num>
  <w:num w:numId="6">
    <w:abstractNumId w:val="13"/>
  </w:num>
  <w:num w:numId="7">
    <w:abstractNumId w:val="9"/>
  </w:num>
  <w:num w:numId="8">
    <w:abstractNumId w:val="8"/>
  </w:num>
  <w:num w:numId="9">
    <w:abstractNumId w:val="22"/>
  </w:num>
  <w:num w:numId="10">
    <w:abstractNumId w:val="15"/>
  </w:num>
  <w:num w:numId="11">
    <w:abstractNumId w:val="14"/>
  </w:num>
  <w:num w:numId="12">
    <w:abstractNumId w:val="21"/>
  </w:num>
  <w:num w:numId="13">
    <w:abstractNumId w:val="20"/>
  </w:num>
  <w:num w:numId="14">
    <w:abstractNumId w:val="16"/>
  </w:num>
  <w:num w:numId="15">
    <w:abstractNumId w:val="5"/>
  </w:num>
  <w:num w:numId="16">
    <w:abstractNumId w:val="1"/>
  </w:num>
  <w:num w:numId="17">
    <w:abstractNumId w:val="10"/>
  </w:num>
  <w:num w:numId="18">
    <w:abstractNumId w:val="12"/>
  </w:num>
  <w:num w:numId="19">
    <w:abstractNumId w:val="19"/>
  </w:num>
  <w:num w:numId="20">
    <w:abstractNumId w:val="17"/>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82DA3"/>
    <w:rsid w:val="0009460C"/>
    <w:rsid w:val="000963AD"/>
    <w:rsid w:val="00097F59"/>
    <w:rsid w:val="000A2D35"/>
    <w:rsid w:val="000B6DD7"/>
    <w:rsid w:val="000C2104"/>
    <w:rsid w:val="000D6920"/>
    <w:rsid w:val="000E1E5A"/>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4475"/>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84A05"/>
    <w:rsid w:val="00385B16"/>
    <w:rsid w:val="003918B4"/>
    <w:rsid w:val="003A2E4C"/>
    <w:rsid w:val="003D5D2B"/>
    <w:rsid w:val="003E0374"/>
    <w:rsid w:val="003F79C4"/>
    <w:rsid w:val="00412DDD"/>
    <w:rsid w:val="00413C58"/>
    <w:rsid w:val="004159EC"/>
    <w:rsid w:val="00421F8B"/>
    <w:rsid w:val="004722BA"/>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83F29"/>
    <w:rsid w:val="005A25ED"/>
    <w:rsid w:val="005B073F"/>
    <w:rsid w:val="005B4AC3"/>
    <w:rsid w:val="005B7F51"/>
    <w:rsid w:val="005C1500"/>
    <w:rsid w:val="005C3C63"/>
    <w:rsid w:val="005C6D89"/>
    <w:rsid w:val="005D783D"/>
    <w:rsid w:val="005E7D1E"/>
    <w:rsid w:val="005F21DD"/>
    <w:rsid w:val="00601B1D"/>
    <w:rsid w:val="00610D23"/>
    <w:rsid w:val="0061327C"/>
    <w:rsid w:val="0062335B"/>
    <w:rsid w:val="00646DDE"/>
    <w:rsid w:val="006472C0"/>
    <w:rsid w:val="0066211B"/>
    <w:rsid w:val="006764D2"/>
    <w:rsid w:val="00690525"/>
    <w:rsid w:val="006B0651"/>
    <w:rsid w:val="006C5404"/>
    <w:rsid w:val="006C59E1"/>
    <w:rsid w:val="006C7D2A"/>
    <w:rsid w:val="006D2900"/>
    <w:rsid w:val="006D2E29"/>
    <w:rsid w:val="006D5967"/>
    <w:rsid w:val="006E7DAB"/>
    <w:rsid w:val="006F5559"/>
    <w:rsid w:val="0070203E"/>
    <w:rsid w:val="007130EC"/>
    <w:rsid w:val="00733162"/>
    <w:rsid w:val="00742E9B"/>
    <w:rsid w:val="007432A5"/>
    <w:rsid w:val="007453E8"/>
    <w:rsid w:val="00746F3D"/>
    <w:rsid w:val="00752B9A"/>
    <w:rsid w:val="00796B31"/>
    <w:rsid w:val="007978F1"/>
    <w:rsid w:val="007C01B5"/>
    <w:rsid w:val="007D1B36"/>
    <w:rsid w:val="007D77E8"/>
    <w:rsid w:val="007E15C2"/>
    <w:rsid w:val="007E43C8"/>
    <w:rsid w:val="007F6823"/>
    <w:rsid w:val="00810247"/>
    <w:rsid w:val="00843353"/>
    <w:rsid w:val="00847547"/>
    <w:rsid w:val="00855300"/>
    <w:rsid w:val="008630E4"/>
    <w:rsid w:val="008700A0"/>
    <w:rsid w:val="0088470F"/>
    <w:rsid w:val="0088542F"/>
    <w:rsid w:val="00894980"/>
    <w:rsid w:val="008A2296"/>
    <w:rsid w:val="008B76AC"/>
    <w:rsid w:val="008C0136"/>
    <w:rsid w:val="008C4914"/>
    <w:rsid w:val="008C496F"/>
    <w:rsid w:val="008D1778"/>
    <w:rsid w:val="008D54E4"/>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4F61"/>
    <w:rsid w:val="009C541E"/>
    <w:rsid w:val="009D18D2"/>
    <w:rsid w:val="009E5527"/>
    <w:rsid w:val="009E7D9C"/>
    <w:rsid w:val="009F565B"/>
    <w:rsid w:val="00A02AD5"/>
    <w:rsid w:val="00A03133"/>
    <w:rsid w:val="00A13EF2"/>
    <w:rsid w:val="00A176E2"/>
    <w:rsid w:val="00A17DE4"/>
    <w:rsid w:val="00A2698A"/>
    <w:rsid w:val="00A31D3D"/>
    <w:rsid w:val="00A41C86"/>
    <w:rsid w:val="00A42B94"/>
    <w:rsid w:val="00A47703"/>
    <w:rsid w:val="00A512A1"/>
    <w:rsid w:val="00A56E15"/>
    <w:rsid w:val="00A7348F"/>
    <w:rsid w:val="00A737CC"/>
    <w:rsid w:val="00A806B4"/>
    <w:rsid w:val="00A82A4A"/>
    <w:rsid w:val="00A96EC7"/>
    <w:rsid w:val="00AA4696"/>
    <w:rsid w:val="00AE39BD"/>
    <w:rsid w:val="00AF0735"/>
    <w:rsid w:val="00AF3247"/>
    <w:rsid w:val="00AF5F37"/>
    <w:rsid w:val="00AF728C"/>
    <w:rsid w:val="00B13FB5"/>
    <w:rsid w:val="00B241BE"/>
    <w:rsid w:val="00B44232"/>
    <w:rsid w:val="00B50F4B"/>
    <w:rsid w:val="00B568C6"/>
    <w:rsid w:val="00B57C39"/>
    <w:rsid w:val="00B60BAB"/>
    <w:rsid w:val="00B71B2B"/>
    <w:rsid w:val="00B75C3E"/>
    <w:rsid w:val="00B816D9"/>
    <w:rsid w:val="00B94A16"/>
    <w:rsid w:val="00B956A7"/>
    <w:rsid w:val="00BC050C"/>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D01490"/>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744A2"/>
    <w:rsid w:val="00F8148F"/>
    <w:rsid w:val="00F84306"/>
    <w:rsid w:val="00FA118E"/>
    <w:rsid w:val="00FA1CEE"/>
    <w:rsid w:val="00FA6B27"/>
    <w:rsid w:val="00FB7AFF"/>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FCBA"/>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1F95-C6DE-4531-B22B-82AF1E49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6</cp:revision>
  <dcterms:created xsi:type="dcterms:W3CDTF">2020-07-09T19:52:00Z</dcterms:created>
  <dcterms:modified xsi:type="dcterms:W3CDTF">2020-07-29T14:52:00Z</dcterms:modified>
</cp:coreProperties>
</file>