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A512A1">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A512A1">
      <w:pPr>
        <w:ind w:left="-1440" w:right="-1440"/>
        <w:jc w:val="center"/>
        <w:rPr>
          <w:b/>
        </w:rPr>
      </w:pPr>
      <w:r w:rsidRPr="001E0050">
        <w:rPr>
          <w:b/>
        </w:rPr>
        <w:t>MEETING NOTES</w:t>
      </w:r>
    </w:p>
    <w:p w:rsidR="006D2E29" w:rsidRPr="001E0050" w:rsidRDefault="006D2E29" w:rsidP="00A512A1">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8287"/>
        <w:gridCol w:w="4500"/>
      </w:tblGrid>
      <w:tr w:rsidR="006D2E29" w:rsidRPr="001E0050" w:rsidTr="006E7DAB">
        <w:tc>
          <w:tcPr>
            <w:tcW w:w="10080" w:type="dxa"/>
            <w:gridSpan w:val="2"/>
          </w:tcPr>
          <w:p w:rsidR="006D2E29" w:rsidRPr="001E0050" w:rsidRDefault="006D2E29" w:rsidP="00A512A1">
            <w:pPr>
              <w:rPr>
                <w:b/>
              </w:rPr>
            </w:pPr>
            <w:r w:rsidRPr="001E0050">
              <w:rPr>
                <w:b/>
              </w:rPr>
              <w:t xml:space="preserve">Committee:   </w:t>
            </w:r>
            <w:r w:rsidR="00E91034" w:rsidRPr="001E0050">
              <w:rPr>
                <w:b/>
              </w:rPr>
              <w:t>Budget and Finance</w:t>
            </w:r>
          </w:p>
        </w:tc>
        <w:tc>
          <w:tcPr>
            <w:tcW w:w="4500" w:type="dxa"/>
          </w:tcPr>
          <w:p w:rsidR="0055133D" w:rsidRPr="001E0050" w:rsidRDefault="006D2E29" w:rsidP="004159EC">
            <w:pPr>
              <w:rPr>
                <w:b/>
              </w:rPr>
            </w:pPr>
            <w:r w:rsidRPr="001E0050">
              <w:rPr>
                <w:b/>
              </w:rPr>
              <w:t xml:space="preserve">Date:    </w:t>
            </w:r>
            <w:r w:rsidR="004159EC">
              <w:rPr>
                <w:b/>
              </w:rPr>
              <w:t>June 5</w:t>
            </w:r>
            <w:r w:rsidR="00185FE8">
              <w:rPr>
                <w:b/>
              </w:rPr>
              <w:t>, 2018</w:t>
            </w:r>
          </w:p>
        </w:tc>
      </w:tr>
      <w:tr w:rsidR="00D81AA6" w:rsidRPr="001E0050" w:rsidTr="006E7DAB">
        <w:trPr>
          <w:trHeight w:val="275"/>
        </w:trPr>
        <w:tc>
          <w:tcPr>
            <w:tcW w:w="10080" w:type="dxa"/>
            <w:gridSpan w:val="2"/>
            <w:vMerge w:val="restart"/>
            <w:vAlign w:val="center"/>
          </w:tcPr>
          <w:p w:rsidR="008B76AC" w:rsidRDefault="00D81AA6" w:rsidP="00A512A1">
            <w:pPr>
              <w:rPr>
                <w:b/>
              </w:rPr>
            </w:pPr>
            <w:r w:rsidRPr="001E0050">
              <w:rPr>
                <w:b/>
              </w:rPr>
              <w:t>Board Members Attending:</w:t>
            </w:r>
            <w:r w:rsidR="003F79C4">
              <w:rPr>
                <w:b/>
              </w:rPr>
              <w:t xml:space="preserve"> </w:t>
            </w:r>
            <w:r w:rsidR="004159EC">
              <w:rPr>
                <w:b/>
              </w:rPr>
              <w:t xml:space="preserve">Jack Mabb (Chair), </w:t>
            </w:r>
            <w:r w:rsidR="00C27C64">
              <w:rPr>
                <w:b/>
              </w:rPr>
              <w:t xml:space="preserve">Robin Andrews, </w:t>
            </w:r>
            <w:r w:rsidR="004159EC">
              <w:rPr>
                <w:b/>
              </w:rPr>
              <w:t xml:space="preserve">Bob Gibson, </w:t>
            </w:r>
            <w:r w:rsidR="008B76AC">
              <w:rPr>
                <w:b/>
              </w:rPr>
              <w:t xml:space="preserve">Jim Campion, </w:t>
            </w:r>
            <w:r w:rsidR="004159EC">
              <w:rPr>
                <w:b/>
              </w:rPr>
              <w:t>PJ Keeler</w:t>
            </w:r>
          </w:p>
          <w:p w:rsidR="001A7704" w:rsidRPr="001E0050" w:rsidRDefault="00D81AA6" w:rsidP="004159EC">
            <w:r w:rsidRPr="001E0050">
              <w:rPr>
                <w:b/>
              </w:rPr>
              <w:t xml:space="preserve">Board Members Absent:  </w:t>
            </w:r>
            <w:r w:rsidR="004159EC">
              <w:rPr>
                <w:b/>
              </w:rPr>
              <w:t>Ken Stall, Chelly Hegan</w:t>
            </w:r>
          </w:p>
        </w:tc>
        <w:tc>
          <w:tcPr>
            <w:tcW w:w="4500" w:type="dxa"/>
          </w:tcPr>
          <w:p w:rsidR="00D81AA6" w:rsidRPr="001E0050" w:rsidRDefault="00D81AA6" w:rsidP="00185FE8">
            <w:pPr>
              <w:rPr>
                <w:b/>
              </w:rPr>
            </w:pPr>
            <w:r w:rsidRPr="001E0050">
              <w:rPr>
                <w:b/>
              </w:rPr>
              <w:t xml:space="preserve">Guests: </w:t>
            </w:r>
            <w:r w:rsidR="00185FE8">
              <w:rPr>
                <w:b/>
              </w:rPr>
              <w:t>None</w:t>
            </w:r>
          </w:p>
        </w:tc>
      </w:tr>
      <w:tr w:rsidR="00D81AA6" w:rsidRPr="001E0050" w:rsidTr="006E7DAB">
        <w:trPr>
          <w:trHeight w:val="296"/>
        </w:trPr>
        <w:tc>
          <w:tcPr>
            <w:tcW w:w="10080" w:type="dxa"/>
            <w:gridSpan w:val="2"/>
            <w:vMerge/>
          </w:tcPr>
          <w:p w:rsidR="00D81AA6" w:rsidRPr="001E0050" w:rsidRDefault="00D81AA6" w:rsidP="00A512A1">
            <w:pPr>
              <w:rPr>
                <w:b/>
              </w:rPr>
            </w:pPr>
          </w:p>
        </w:tc>
        <w:tc>
          <w:tcPr>
            <w:tcW w:w="4500" w:type="dxa"/>
          </w:tcPr>
          <w:p w:rsidR="00D81AA6" w:rsidRPr="001E0050" w:rsidRDefault="00D81AA6" w:rsidP="00A512A1">
            <w:pPr>
              <w:rPr>
                <w:b/>
              </w:rPr>
            </w:pPr>
            <w:r w:rsidRPr="001E0050">
              <w:rPr>
                <w:b/>
              </w:rPr>
              <w:t>Staff Members Attending: Claire Parde</w:t>
            </w:r>
            <w:r w:rsidR="004E0E27">
              <w:rPr>
                <w:b/>
              </w:rPr>
              <w:t xml:space="preserve"> and John Ray</w:t>
            </w:r>
          </w:p>
        </w:tc>
      </w:tr>
      <w:tr w:rsidR="006D2E29" w:rsidRPr="001E0050" w:rsidTr="00151D8B">
        <w:trPr>
          <w:trHeight w:val="345"/>
        </w:trPr>
        <w:tc>
          <w:tcPr>
            <w:tcW w:w="1793" w:type="dxa"/>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 xml:space="preserve">TOPIC </w:t>
            </w:r>
          </w:p>
        </w:tc>
        <w:tc>
          <w:tcPr>
            <w:tcW w:w="12787"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A512A1">
            <w:pPr>
              <w:rPr>
                <w:b/>
              </w:rPr>
            </w:pPr>
            <w:r w:rsidRPr="001E0050">
              <w:rPr>
                <w:b/>
              </w:rPr>
              <w:t>SUMMARY OF TOPIC DISCUSSED</w:t>
            </w:r>
          </w:p>
        </w:tc>
      </w:tr>
      <w:tr w:rsidR="004159E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9E6745" w:rsidP="004159EC">
            <w:pPr>
              <w:spacing w:before="120" w:after="120"/>
            </w:pPr>
            <w:r>
              <w:t>Search for a new Financial Advisor</w:t>
            </w:r>
          </w:p>
        </w:tc>
        <w:tc>
          <w:tcPr>
            <w:tcW w:w="12787" w:type="dxa"/>
            <w:gridSpan w:val="2"/>
            <w:tcBorders>
              <w:top w:val="single" w:sz="4" w:space="0" w:color="auto"/>
              <w:left w:val="single" w:sz="4" w:space="0" w:color="auto"/>
              <w:bottom w:val="single" w:sz="4" w:space="0" w:color="auto"/>
            </w:tcBorders>
            <w:vAlign w:val="center"/>
          </w:tcPr>
          <w:p w:rsidR="004159EC" w:rsidRDefault="009E6745" w:rsidP="00480FCD">
            <w:pPr>
              <w:spacing w:before="120" w:after="120"/>
            </w:pPr>
            <w:r>
              <w:t>At the last meeting, it was decided that the Committee would identify a new financial advisor, and Claire was tasked with contacting the individuals recommended by the Committee</w:t>
            </w:r>
            <w:r w:rsidR="00480FCD">
              <w:t>, one of which was Robert Hennes, Director of Nonprofit Services at Hugh Johnson Advisors.  While Bob reported that he could not undertake to manage the account, due to its small size, that he would provide technical assistance to the committee on a pro bono basis. Claire subsequently sent him the agency’s investment policy, which he immediately recognized as being out of compliance with the New York Prudent Management of Institutional Funds Act of 2010, or NYPMIFA.  Bob drafted a compliant policy on behalf of the Consortium, which the Committee reviewed.</w:t>
            </w:r>
          </w:p>
          <w:p w:rsidR="00480FCD" w:rsidRPr="001E0050" w:rsidRDefault="00480FCD" w:rsidP="00480FCD">
            <w:pPr>
              <w:spacing w:before="120" w:after="120"/>
            </w:pPr>
            <w:r>
              <w:t xml:space="preserve">The Committee was concerned about the reference to the fund as an “endowment” and asked Claire to address this concern with Bob. </w:t>
            </w:r>
            <w:r w:rsidR="002C2381">
              <w:t xml:space="preserve">Thereafter, she will send a revised document, which she asked all members to carefully review and offer comment. </w:t>
            </w:r>
          </w:p>
        </w:tc>
      </w:tr>
      <w:tr w:rsidR="004159E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4159EC">
            <w:pPr>
              <w:spacing w:before="120" w:after="120"/>
            </w:pPr>
            <w:r w:rsidRPr="001E0050">
              <w:t>Highlights from the Financial Reports</w:t>
            </w:r>
          </w:p>
          <w:p w:rsidR="004159EC" w:rsidRDefault="004159EC" w:rsidP="004159EC">
            <w:pPr>
              <w:spacing w:before="120" w:after="120"/>
            </w:pPr>
          </w:p>
        </w:tc>
        <w:tc>
          <w:tcPr>
            <w:tcW w:w="12787" w:type="dxa"/>
            <w:gridSpan w:val="2"/>
            <w:tcBorders>
              <w:top w:val="single" w:sz="4" w:space="0" w:color="auto"/>
              <w:left w:val="single" w:sz="4" w:space="0" w:color="auto"/>
              <w:bottom w:val="single" w:sz="4" w:space="0" w:color="auto"/>
            </w:tcBorders>
            <w:vAlign w:val="center"/>
          </w:tcPr>
          <w:p w:rsidR="004159EC" w:rsidRDefault="004159EC" w:rsidP="00480FCD">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480FCD">
              <w:t>April 30</w:t>
            </w:r>
            <w:r>
              <w:t xml:space="preserve">, 2018. John Ray offered his “Fiscal Highlights” (see attached).  </w:t>
            </w:r>
          </w:p>
        </w:tc>
      </w:tr>
      <w:tr w:rsidR="004159EC" w:rsidRPr="001E0050" w:rsidTr="00151D8B">
        <w:trPr>
          <w:trHeight w:val="1295"/>
        </w:trPr>
        <w:tc>
          <w:tcPr>
            <w:tcW w:w="1793" w:type="dxa"/>
            <w:tcBorders>
              <w:top w:val="single" w:sz="4" w:space="0" w:color="auto"/>
              <w:left w:val="single" w:sz="8" w:space="0" w:color="auto"/>
              <w:bottom w:val="single" w:sz="4" w:space="0" w:color="auto"/>
              <w:right w:val="single" w:sz="4" w:space="0" w:color="auto"/>
            </w:tcBorders>
            <w:vAlign w:val="center"/>
          </w:tcPr>
          <w:p w:rsidR="004159EC" w:rsidRDefault="004159EC" w:rsidP="004159EC">
            <w:pPr>
              <w:spacing w:before="120" w:after="120"/>
            </w:pPr>
            <w:r>
              <w:t>Review of Fiscal Policies</w:t>
            </w:r>
          </w:p>
        </w:tc>
        <w:tc>
          <w:tcPr>
            <w:tcW w:w="12787" w:type="dxa"/>
            <w:gridSpan w:val="2"/>
            <w:tcBorders>
              <w:top w:val="single" w:sz="4" w:space="0" w:color="auto"/>
              <w:left w:val="single" w:sz="4" w:space="0" w:color="auto"/>
              <w:bottom w:val="single" w:sz="4" w:space="0" w:color="auto"/>
            </w:tcBorders>
            <w:vAlign w:val="center"/>
          </w:tcPr>
          <w:p w:rsidR="004159EC" w:rsidRDefault="00E455C8" w:rsidP="0002536C">
            <w:pPr>
              <w:spacing w:before="120" w:after="120"/>
            </w:pPr>
            <w:r>
              <w:t>At the last meeting, t</w:t>
            </w:r>
            <w:r w:rsidR="004159EC">
              <w:t>he Committee decided to conduct a comprehensive re</w:t>
            </w:r>
            <w:r>
              <w:t xml:space="preserve">view of all the fiscal policies, and </w:t>
            </w:r>
            <w:r w:rsidR="004159EC">
              <w:t xml:space="preserve">asked John and Claire to review the policies and offer their recommendations for changes at </w:t>
            </w:r>
            <w:r w:rsidR="0002536C">
              <w:t xml:space="preserve">this </w:t>
            </w:r>
            <w:r w:rsidR="004159EC">
              <w:t xml:space="preserve">meeting. </w:t>
            </w:r>
            <w:r w:rsidR="0002536C">
              <w:t xml:space="preserve">They did so, but the Committee was unable to review them due to lack of time. Claire committed to circulate the electronic version of the policies to the Committee a week prior to the next meeting for all members to review. </w:t>
            </w:r>
            <w:bookmarkStart w:id="0" w:name="_GoBack"/>
            <w:bookmarkEnd w:id="0"/>
          </w:p>
        </w:tc>
      </w:tr>
      <w:tr w:rsidR="004159EC" w:rsidRPr="001E0050" w:rsidTr="00151D8B">
        <w:trPr>
          <w:trHeight w:val="530"/>
        </w:trPr>
        <w:tc>
          <w:tcPr>
            <w:tcW w:w="1793" w:type="dxa"/>
            <w:tcBorders>
              <w:top w:val="single" w:sz="4" w:space="0" w:color="auto"/>
              <w:left w:val="single" w:sz="8" w:space="0" w:color="auto"/>
              <w:bottom w:val="single" w:sz="4" w:space="0" w:color="auto"/>
              <w:right w:val="single" w:sz="4" w:space="0" w:color="auto"/>
            </w:tcBorders>
            <w:vAlign w:val="center"/>
          </w:tcPr>
          <w:p w:rsidR="004159EC" w:rsidRPr="001E0050" w:rsidRDefault="004159EC" w:rsidP="004159EC">
            <w:r>
              <w:t>Next mtng</w:t>
            </w:r>
          </w:p>
        </w:tc>
        <w:tc>
          <w:tcPr>
            <w:tcW w:w="12787" w:type="dxa"/>
            <w:gridSpan w:val="2"/>
            <w:tcBorders>
              <w:top w:val="single" w:sz="4" w:space="0" w:color="auto"/>
              <w:left w:val="single" w:sz="4" w:space="0" w:color="auto"/>
              <w:bottom w:val="single" w:sz="4" w:space="0" w:color="auto"/>
            </w:tcBorders>
            <w:vAlign w:val="center"/>
          </w:tcPr>
          <w:p w:rsidR="004159EC" w:rsidRPr="001E0050" w:rsidRDefault="004159EC" w:rsidP="006764D2">
            <w:pPr>
              <w:spacing w:before="120"/>
            </w:pPr>
            <w:r w:rsidRPr="005D783D">
              <w:t xml:space="preserve">The next meeting is </w:t>
            </w:r>
            <w:r w:rsidR="006764D2">
              <w:rPr>
                <w:b/>
              </w:rPr>
              <w:t>July 17</w:t>
            </w:r>
            <w:r>
              <w:rPr>
                <w:b/>
              </w:rPr>
              <w:t>th</w:t>
            </w:r>
            <w:r>
              <w:t xml:space="preserve"> </w:t>
            </w:r>
            <w:r w:rsidRPr="00B75C3E">
              <w:rPr>
                <w:b/>
              </w:rPr>
              <w:t>at 3:00 p.m.</w:t>
            </w:r>
          </w:p>
        </w:tc>
      </w:tr>
    </w:tbl>
    <w:p w:rsidR="00151D8B" w:rsidRDefault="00151D8B" w:rsidP="00A512A1">
      <w:pPr>
        <w:sectPr w:rsidR="00151D8B" w:rsidSect="006C5404">
          <w:pgSz w:w="15840" w:h="12240" w:orient="landscape"/>
          <w:pgMar w:top="720" w:right="576" w:bottom="720" w:left="720" w:header="720" w:footer="720" w:gutter="0"/>
          <w:cols w:space="720"/>
          <w:docGrid w:linePitch="360"/>
        </w:sectPr>
      </w:pPr>
    </w:p>
    <w:tbl>
      <w:tblPr>
        <w:tblW w:w="0" w:type="auto"/>
        <w:tblLook w:val="04A0" w:firstRow="1" w:lastRow="0" w:firstColumn="1" w:lastColumn="0" w:noHBand="0" w:noVBand="1"/>
      </w:tblPr>
      <w:tblGrid>
        <w:gridCol w:w="221"/>
        <w:gridCol w:w="879"/>
        <w:gridCol w:w="1751"/>
        <w:gridCol w:w="1773"/>
        <w:gridCol w:w="1712"/>
        <w:gridCol w:w="1762"/>
        <w:gridCol w:w="1880"/>
        <w:gridCol w:w="822"/>
      </w:tblGrid>
      <w:tr w:rsidR="009E6745" w:rsidRPr="009E6745" w:rsidTr="009E6745">
        <w:trPr>
          <w:trHeight w:val="465"/>
        </w:trPr>
        <w:tc>
          <w:tcPr>
            <w:tcW w:w="0" w:type="auto"/>
            <w:gridSpan w:val="8"/>
            <w:tcBorders>
              <w:top w:val="nil"/>
              <w:left w:val="nil"/>
              <w:bottom w:val="nil"/>
              <w:right w:val="nil"/>
            </w:tcBorders>
            <w:shd w:val="clear" w:color="auto" w:fill="auto"/>
            <w:noWrap/>
            <w:vAlign w:val="center"/>
            <w:hideMark/>
          </w:tcPr>
          <w:p w:rsidR="009E6745" w:rsidRPr="009E6745" w:rsidRDefault="009E6745" w:rsidP="009E6745">
            <w:pPr>
              <w:jc w:val="center"/>
              <w:rPr>
                <w:rFonts w:ascii="Calibri" w:hAnsi="Calibri" w:cs="Arial"/>
                <w:b/>
                <w:bCs/>
                <w:color w:val="000000"/>
                <w:sz w:val="36"/>
                <w:szCs w:val="36"/>
              </w:rPr>
            </w:pPr>
            <w:r w:rsidRPr="009E6745">
              <w:rPr>
                <w:rFonts w:ascii="Calibri" w:hAnsi="Calibri" w:cs="Arial"/>
                <w:b/>
                <w:bCs/>
                <w:color w:val="000000"/>
                <w:sz w:val="36"/>
                <w:szCs w:val="36"/>
              </w:rPr>
              <w:lastRenderedPageBreak/>
              <w:t>Finance &amp; Budget Committee Meeting</w:t>
            </w:r>
          </w:p>
        </w:tc>
      </w:tr>
      <w:tr w:rsidR="009E6745" w:rsidRPr="009E6745" w:rsidTr="009E6745">
        <w:trPr>
          <w:trHeight w:val="465"/>
        </w:trPr>
        <w:tc>
          <w:tcPr>
            <w:tcW w:w="0" w:type="auto"/>
            <w:gridSpan w:val="8"/>
            <w:tcBorders>
              <w:top w:val="nil"/>
              <w:left w:val="nil"/>
              <w:bottom w:val="nil"/>
              <w:right w:val="nil"/>
            </w:tcBorders>
            <w:shd w:val="clear" w:color="auto" w:fill="auto"/>
            <w:noWrap/>
            <w:vAlign w:val="center"/>
            <w:hideMark/>
          </w:tcPr>
          <w:p w:rsidR="009E6745" w:rsidRPr="009E6745" w:rsidRDefault="009E6745" w:rsidP="009E6745">
            <w:pPr>
              <w:jc w:val="center"/>
              <w:rPr>
                <w:rFonts w:ascii="Calibri" w:hAnsi="Calibri" w:cs="Arial"/>
                <w:b/>
                <w:bCs/>
                <w:color w:val="000000"/>
                <w:sz w:val="36"/>
                <w:szCs w:val="36"/>
              </w:rPr>
            </w:pPr>
            <w:r w:rsidRPr="009E6745">
              <w:rPr>
                <w:rFonts w:ascii="Calibri" w:hAnsi="Calibri" w:cs="Arial"/>
                <w:b/>
                <w:bCs/>
                <w:color w:val="000000"/>
                <w:sz w:val="36"/>
                <w:szCs w:val="36"/>
              </w:rPr>
              <w:t xml:space="preserve">   Fiscal Highlights</w:t>
            </w:r>
          </w:p>
        </w:tc>
      </w:tr>
      <w:tr w:rsidR="009E6745" w:rsidRPr="009E6745" w:rsidTr="009E6745">
        <w:trPr>
          <w:trHeight w:val="465"/>
        </w:trPr>
        <w:tc>
          <w:tcPr>
            <w:tcW w:w="0" w:type="auto"/>
            <w:gridSpan w:val="8"/>
            <w:tcBorders>
              <w:top w:val="nil"/>
              <w:left w:val="nil"/>
              <w:bottom w:val="nil"/>
              <w:right w:val="nil"/>
            </w:tcBorders>
            <w:shd w:val="clear" w:color="auto" w:fill="auto"/>
            <w:noWrap/>
            <w:vAlign w:val="center"/>
            <w:hideMark/>
          </w:tcPr>
          <w:p w:rsidR="009E6745" w:rsidRPr="009E6745" w:rsidRDefault="009E6745" w:rsidP="009E6745">
            <w:pPr>
              <w:jc w:val="center"/>
              <w:rPr>
                <w:rFonts w:ascii="Calibri" w:hAnsi="Calibri" w:cs="Arial"/>
                <w:b/>
                <w:bCs/>
                <w:color w:val="000000"/>
                <w:sz w:val="36"/>
                <w:szCs w:val="36"/>
              </w:rPr>
            </w:pPr>
            <w:r w:rsidRPr="009E6745">
              <w:rPr>
                <w:rFonts w:ascii="Calibri" w:hAnsi="Calibri" w:cs="Arial"/>
                <w:b/>
                <w:bCs/>
                <w:color w:val="000000"/>
                <w:sz w:val="36"/>
                <w:szCs w:val="36"/>
              </w:rPr>
              <w:t>Tuesday, June 05, 2018</w:t>
            </w:r>
          </w:p>
        </w:tc>
      </w:tr>
      <w:tr w:rsidR="009E6745" w:rsidRPr="009E6745" w:rsidTr="009E6745">
        <w:trPr>
          <w:trHeight w:val="435"/>
        </w:trPr>
        <w:tc>
          <w:tcPr>
            <w:tcW w:w="0" w:type="auto"/>
            <w:gridSpan w:val="8"/>
            <w:tcBorders>
              <w:top w:val="nil"/>
              <w:left w:val="nil"/>
              <w:bottom w:val="nil"/>
              <w:right w:val="nil"/>
            </w:tcBorders>
            <w:shd w:val="clear" w:color="auto" w:fill="auto"/>
            <w:vAlign w:val="bottom"/>
            <w:hideMark/>
          </w:tcPr>
          <w:p w:rsidR="009E6745" w:rsidRPr="009E6745" w:rsidRDefault="009E6745" w:rsidP="009E6745">
            <w:pPr>
              <w:jc w:val="center"/>
              <w:rPr>
                <w:rFonts w:ascii="Wide Latin" w:hAnsi="Wide Latin" w:cs="Arial"/>
                <w:color w:val="000000"/>
              </w:rPr>
            </w:pPr>
            <w:bookmarkStart w:id="1" w:name="RANGE!A4:H100"/>
            <w:r w:rsidRPr="009E6745">
              <w:rPr>
                <w:rFonts w:ascii="Wide Latin" w:hAnsi="Wide Latin" w:cs="Arial"/>
                <w:color w:val="000000"/>
              </w:rPr>
              <w:t>Statement of Financial Position</w:t>
            </w:r>
            <w:bookmarkEnd w:id="1"/>
          </w:p>
        </w:tc>
      </w:tr>
      <w:tr w:rsidR="009E6745" w:rsidRPr="009E6745" w:rsidTr="009E6745">
        <w:trPr>
          <w:trHeight w:val="1020"/>
        </w:trPr>
        <w:tc>
          <w:tcPr>
            <w:tcW w:w="0" w:type="auto"/>
            <w:gridSpan w:val="8"/>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r w:rsidRPr="009E6745">
              <w:rPr>
                <w:rFonts w:ascii="Wingdings" w:hAnsi="Wingdings" w:cs="Arial"/>
                <w:color w:val="000000"/>
              </w:rPr>
              <w:t></w:t>
            </w:r>
            <w:r w:rsidRPr="009E6745">
              <w:rPr>
                <w:b/>
                <w:bCs/>
                <w:color w:val="000000"/>
              </w:rPr>
              <w:t xml:space="preserve"> Cash</w:t>
            </w:r>
            <w:r w:rsidRPr="009E6745">
              <w:rPr>
                <w:rFonts w:ascii="Calibri" w:hAnsi="Calibri" w:cs="Arial"/>
                <w:color w:val="000000"/>
              </w:rPr>
              <w:t xml:space="preserve"> -  Cash balance in the operating checking account started the year off with $283K and ended with $180K at April 30, 2018. Low balance on May 11th was $153K &amp; the high balance on March 2nd was $367K. Average daily balance for the 2017 &amp; 2018 years were $323K and $264K, respectively.</w:t>
            </w:r>
          </w:p>
        </w:tc>
      </w:tr>
      <w:tr w:rsidR="009E6745" w:rsidRPr="009E6745" w:rsidTr="009E6745">
        <w:trPr>
          <w:trHeight w:val="1620"/>
        </w:trPr>
        <w:tc>
          <w:tcPr>
            <w:tcW w:w="0" w:type="auto"/>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r w:rsidRPr="009E6745">
              <w:rPr>
                <w:rFonts w:ascii="Wingdings" w:hAnsi="Wingdings" w:cs="Arial"/>
                <w:noProof/>
                <w:color w:val="000000"/>
              </w:rPr>
              <w:drawing>
                <wp:anchor distT="0" distB="0" distL="114300" distR="114300" simplePos="0" relativeHeight="251659264" behindDoc="0" locked="0" layoutInCell="1" allowOverlap="1">
                  <wp:simplePos x="0" y="0"/>
                  <wp:positionH relativeFrom="column">
                    <wp:posOffset>-2063115</wp:posOffset>
                  </wp:positionH>
                  <wp:positionV relativeFrom="paragraph">
                    <wp:posOffset>24130</wp:posOffset>
                  </wp:positionV>
                  <wp:extent cx="6457950" cy="2562225"/>
                  <wp:effectExtent l="0" t="0" r="0" b="9525"/>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9E6745">
        <w:trPr>
          <w:trHeight w:val="162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9E6745">
        <w:trPr>
          <w:trHeight w:val="1026"/>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9E6745">
        <w:trPr>
          <w:trHeight w:val="765"/>
        </w:trPr>
        <w:tc>
          <w:tcPr>
            <w:tcW w:w="0" w:type="auto"/>
            <w:gridSpan w:val="8"/>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r w:rsidRPr="009E6745">
              <w:rPr>
                <w:rFonts w:ascii="Wingdings" w:hAnsi="Wingdings" w:cs="Arial"/>
                <w:color w:val="000000"/>
              </w:rPr>
              <w:t></w:t>
            </w:r>
            <w:r w:rsidRPr="009E6745">
              <w:rPr>
                <w:color w:val="000000"/>
              </w:rPr>
              <w:t xml:space="preserve"> </w:t>
            </w:r>
            <w:r w:rsidRPr="009E6745">
              <w:rPr>
                <w:rFonts w:ascii="Calibri" w:hAnsi="Calibri" w:cs="Arial"/>
                <w:b/>
                <w:bCs/>
                <w:color w:val="000000"/>
              </w:rPr>
              <w:t xml:space="preserve">Grant Receivable - </w:t>
            </w:r>
            <w:r w:rsidRPr="009E6745">
              <w:rPr>
                <w:rFonts w:ascii="Calibri" w:hAnsi="Calibri" w:cs="Arial"/>
                <w:color w:val="000000"/>
              </w:rPr>
              <w:t xml:space="preserve">  As of April 30, 2018 our Grant Receivable is $309K. Expectation is that we will collect on all receivables.  The average collection period for 2017 was 70 days. Summary of Grants Receivable at April 30, 2018 is as follows:</w:t>
            </w: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rPr>
                <w:rFonts w:ascii="Wingdings" w:hAnsi="Wingdings" w:cs="Arial"/>
                <w:color w:val="00000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color w:val="000000"/>
              </w:rPr>
            </w:pPr>
            <w:r w:rsidRPr="009E6745">
              <w:rPr>
                <w:color w:val="000000"/>
              </w:rPr>
              <w:t>Amount $</w:t>
            </w: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sz w:val="20"/>
                <w:szCs w:val="20"/>
              </w:rPr>
            </w:pP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Rural Health Network Program</w:t>
            </w: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 xml:space="preserve">84,559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Navigator Health Program</w:t>
            </w: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 xml:space="preserve">76,290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Tobacco-Free Program</w:t>
            </w: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 xml:space="preserve">52,325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Cancer Services Program</w:t>
            </w: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 xml:space="preserve">17,913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Transportation-Medicaid</w:t>
            </w: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 xml:space="preserve">16,978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Other Columbia Co</w:t>
            </w:r>
            <w:r>
              <w:rPr>
                <w:color w:val="000000"/>
              </w:rPr>
              <w:t xml:space="preserve">. </w:t>
            </w:r>
            <w:r w:rsidRPr="009E6745">
              <w:rPr>
                <w:color w:val="000000"/>
              </w:rPr>
              <w:t>Programs</w:t>
            </w: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 xml:space="preserve">57,890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315"/>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Greene County DSS</w:t>
            </w:r>
          </w:p>
        </w:tc>
        <w:tc>
          <w:tcPr>
            <w:tcW w:w="0" w:type="auto"/>
            <w:tcBorders>
              <w:top w:val="nil"/>
              <w:left w:val="nil"/>
              <w:bottom w:val="nil"/>
              <w:right w:val="nil"/>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 xml:space="preserve">3,146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rFonts w:ascii="Arial" w:hAnsi="Arial" w:cs="Arial"/>
                <w:color w:val="000000"/>
                <w:sz w:val="22"/>
                <w:szCs w:val="22"/>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330"/>
        </w:trPr>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hideMark/>
          </w:tcPr>
          <w:p w:rsidR="009E6745" w:rsidRPr="009E6745" w:rsidRDefault="009E6745" w:rsidP="009E6745">
            <w:pPr>
              <w:jc w:val="center"/>
              <w:rPr>
                <w:color w:val="000000"/>
              </w:rPr>
            </w:pPr>
            <w:r w:rsidRPr="009E6745">
              <w:rPr>
                <w:color w:val="000000"/>
              </w:rPr>
              <w:t>Total Grant Receivable</w:t>
            </w: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color w:val="000000"/>
              </w:rPr>
            </w:pPr>
          </w:p>
        </w:tc>
        <w:tc>
          <w:tcPr>
            <w:tcW w:w="0" w:type="auto"/>
            <w:tcBorders>
              <w:top w:val="single" w:sz="4" w:space="0" w:color="auto"/>
              <w:left w:val="nil"/>
              <w:bottom w:val="double" w:sz="6" w:space="0" w:color="auto"/>
              <w:right w:val="nil"/>
            </w:tcBorders>
            <w:shd w:val="clear" w:color="auto" w:fill="auto"/>
            <w:vAlign w:val="bottom"/>
            <w:hideMark/>
          </w:tcPr>
          <w:p w:rsidR="009E6745" w:rsidRPr="009E6745" w:rsidRDefault="009E6745" w:rsidP="009E6745">
            <w:pPr>
              <w:jc w:val="right"/>
              <w:rPr>
                <w:color w:val="000000"/>
              </w:rPr>
            </w:pPr>
            <w:r w:rsidRPr="009E6745">
              <w:rPr>
                <w:color w:val="000000"/>
              </w:rPr>
              <w:t xml:space="preserve">$309,102 </w:t>
            </w:r>
          </w:p>
        </w:tc>
        <w:tc>
          <w:tcPr>
            <w:tcW w:w="0" w:type="auto"/>
            <w:tcBorders>
              <w:top w:val="nil"/>
              <w:left w:val="nil"/>
              <w:bottom w:val="nil"/>
              <w:right w:val="nil"/>
            </w:tcBorders>
            <w:shd w:val="clear" w:color="auto" w:fill="auto"/>
            <w:vAlign w:val="bottom"/>
            <w:hideMark/>
          </w:tcPr>
          <w:p w:rsidR="009E6745" w:rsidRPr="009E6745" w:rsidRDefault="009E6745" w:rsidP="009E6745">
            <w:pPr>
              <w:jc w:val="right"/>
              <w:rPr>
                <w:color w:val="00000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bottom"/>
            <w:hideMark/>
          </w:tcPr>
          <w:p w:rsidR="009E6745" w:rsidRPr="009E6745" w:rsidRDefault="009E6745" w:rsidP="009E6745">
            <w:pPr>
              <w:jc w:val="center"/>
              <w:rPr>
                <w:sz w:val="20"/>
                <w:szCs w:val="20"/>
              </w:rPr>
            </w:pPr>
          </w:p>
        </w:tc>
      </w:tr>
      <w:tr w:rsidR="009E6745" w:rsidRPr="009E6745" w:rsidTr="009E6745">
        <w:trPr>
          <w:trHeight w:val="765"/>
        </w:trPr>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gridSpan w:val="7"/>
            <w:vMerge w:val="restart"/>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p>
        </w:tc>
      </w:tr>
      <w:tr w:rsidR="009E6745" w:rsidRPr="009E6745" w:rsidTr="009E6745">
        <w:trPr>
          <w:trHeight w:val="1770"/>
        </w:trPr>
        <w:tc>
          <w:tcPr>
            <w:tcW w:w="0" w:type="auto"/>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p>
        </w:tc>
        <w:tc>
          <w:tcPr>
            <w:tcW w:w="0" w:type="auto"/>
            <w:gridSpan w:val="7"/>
            <w:vMerge/>
            <w:tcBorders>
              <w:top w:val="nil"/>
              <w:left w:val="nil"/>
              <w:bottom w:val="nil"/>
              <w:right w:val="nil"/>
            </w:tcBorders>
            <w:vAlign w:val="center"/>
            <w:hideMark/>
          </w:tcPr>
          <w:p w:rsidR="009E6745" w:rsidRPr="009E6745" w:rsidRDefault="009E6745" w:rsidP="009E6745">
            <w:pPr>
              <w:rPr>
                <w:rFonts w:ascii="Wingdings" w:hAnsi="Wingdings" w:cs="Arial"/>
                <w:color w:val="000000"/>
              </w:rPr>
            </w:pPr>
          </w:p>
        </w:tc>
      </w:tr>
      <w:tr w:rsidR="009E6745" w:rsidRPr="009E6745" w:rsidTr="009E6745">
        <w:trPr>
          <w:trHeight w:val="177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r w:rsidRPr="009E6745">
              <w:rPr>
                <w:rFonts w:ascii="Wingdings" w:hAnsi="Wingdings" w:cs="Arial"/>
                <w:noProof/>
                <w:color w:val="000000"/>
              </w:rPr>
              <w:lastRenderedPageBreak/>
              <w:drawing>
                <wp:anchor distT="0" distB="0" distL="114300" distR="114300" simplePos="0" relativeHeight="251660288" behindDoc="0" locked="0" layoutInCell="1" allowOverlap="1">
                  <wp:simplePos x="0" y="0"/>
                  <wp:positionH relativeFrom="column">
                    <wp:posOffset>93345</wp:posOffset>
                  </wp:positionH>
                  <wp:positionV relativeFrom="paragraph">
                    <wp:posOffset>-108585</wp:posOffset>
                  </wp:positionV>
                  <wp:extent cx="6343650" cy="2152650"/>
                  <wp:effectExtent l="0" t="0" r="0" b="0"/>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0" w:type="auto"/>
            <w:gridSpan w:val="7"/>
            <w:vMerge/>
            <w:tcBorders>
              <w:top w:val="nil"/>
              <w:left w:val="nil"/>
              <w:bottom w:val="nil"/>
              <w:right w:val="nil"/>
            </w:tcBorders>
            <w:vAlign w:val="center"/>
            <w:hideMark/>
          </w:tcPr>
          <w:p w:rsidR="009E6745" w:rsidRPr="009E6745" w:rsidRDefault="009E6745" w:rsidP="009E6745">
            <w:pPr>
              <w:rPr>
                <w:rFonts w:ascii="Wingdings" w:hAnsi="Wingdings" w:cs="Arial"/>
                <w:color w:val="000000"/>
              </w:rPr>
            </w:pPr>
          </w:p>
        </w:tc>
      </w:tr>
      <w:tr w:rsidR="009E6745" w:rsidRPr="009E6745" w:rsidTr="009E6745">
        <w:trPr>
          <w:trHeight w:val="177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gridSpan w:val="7"/>
            <w:vMerge/>
            <w:tcBorders>
              <w:top w:val="nil"/>
              <w:left w:val="nil"/>
              <w:bottom w:val="nil"/>
              <w:right w:val="nil"/>
            </w:tcBorders>
            <w:vAlign w:val="center"/>
            <w:hideMark/>
          </w:tcPr>
          <w:p w:rsidR="009E6745" w:rsidRPr="009E6745" w:rsidRDefault="009E6745" w:rsidP="009E6745">
            <w:pPr>
              <w:rPr>
                <w:rFonts w:ascii="Wingdings" w:hAnsi="Wingdings" w:cs="Arial"/>
                <w:color w:val="000000"/>
              </w:rPr>
            </w:pPr>
          </w:p>
        </w:tc>
      </w:tr>
      <w:tr w:rsidR="009E6745" w:rsidRPr="009E6745" w:rsidTr="009E6745">
        <w:trPr>
          <w:trHeight w:val="8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9E6745">
        <w:trPr>
          <w:trHeight w:val="765"/>
        </w:trPr>
        <w:tc>
          <w:tcPr>
            <w:tcW w:w="0" w:type="auto"/>
            <w:gridSpan w:val="8"/>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r w:rsidRPr="009E6745">
              <w:rPr>
                <w:rFonts w:ascii="Wingdings" w:hAnsi="Wingdings" w:cs="Arial"/>
                <w:color w:val="000000"/>
              </w:rPr>
              <w:t></w:t>
            </w:r>
            <w:r w:rsidRPr="009E6745">
              <w:rPr>
                <w:b/>
                <w:bCs/>
                <w:color w:val="000000"/>
              </w:rPr>
              <w:t xml:space="preserve"> Investment - Infinex Financial-Securities</w:t>
            </w:r>
            <w:r w:rsidRPr="009E6745">
              <w:rPr>
                <w:rFonts w:ascii="Calibri" w:hAnsi="Calibri" w:cs="Arial"/>
                <w:color w:val="000000"/>
              </w:rPr>
              <w:t xml:space="preserve"> - As of April 30, 2018, investment account value of six mutual funds is $163,875. Initial investment during March 2016 was $152,036 or $25.3K per mutual fund</w:t>
            </w:r>
          </w:p>
        </w:tc>
      </w:tr>
      <w:tr w:rsidR="009E6745" w:rsidRPr="009E6745" w:rsidTr="009E6745">
        <w:trPr>
          <w:trHeight w:val="345"/>
        </w:trPr>
        <w:tc>
          <w:tcPr>
            <w:tcW w:w="0" w:type="auto"/>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Calibri" w:hAnsi="Calibri" w:cs="Arial"/>
                <w:b/>
                <w:bCs/>
                <w:color w:val="000000"/>
                <w:sz w:val="22"/>
                <w:szCs w:val="22"/>
              </w:rPr>
            </w:pPr>
            <w:r w:rsidRPr="009E6745">
              <w:rPr>
                <w:rFonts w:ascii="Calibri" w:hAnsi="Calibri" w:cs="Arial"/>
                <w:b/>
                <w:bCs/>
                <w:color w:val="000000"/>
                <w:sz w:val="22"/>
                <w:szCs w:val="22"/>
              </w:rPr>
              <w:t>Fund</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Beginning Balance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Income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Transfer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Unrealized Gains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Ending Balance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Percent Total Assets</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jc w:val="center"/>
              <w:rPr>
                <w:rFonts w:ascii="Calibri" w:hAnsi="Calibri" w:cs="Arial"/>
                <w:b/>
                <w:bCs/>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                     (0)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                   (20)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                     (20)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FCISX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28,579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561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12,500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(1,572)</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40,072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24%</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jc w:val="right"/>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FRUGX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24,970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95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(10,000)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(410)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14,659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9%</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jc w:val="right"/>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FRGSX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32,561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14,000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124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46,691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28%</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jc w:val="right"/>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FCSCX</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25,066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133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(4,000)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(136)</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21,065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13%</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jc w:val="right"/>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FSGCX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26,568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176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(5,000)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(515)</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21,231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13%</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jc w:val="right"/>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TEGBX</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27,193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194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(7,500)</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288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20,177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12%</w:t>
            </w:r>
          </w:p>
        </w:tc>
      </w:tr>
      <w:tr w:rsidR="009E6745" w:rsidRPr="009E6745" w:rsidTr="009E6745">
        <w:trPr>
          <w:trHeight w:val="195"/>
        </w:trPr>
        <w:tc>
          <w:tcPr>
            <w:tcW w:w="0" w:type="auto"/>
            <w:tcBorders>
              <w:top w:val="nil"/>
              <w:left w:val="nil"/>
              <w:bottom w:val="nil"/>
              <w:right w:val="nil"/>
            </w:tcBorders>
            <w:shd w:val="clear" w:color="auto" w:fill="auto"/>
            <w:hideMark/>
          </w:tcPr>
          <w:p w:rsidR="009E6745" w:rsidRPr="009E6745" w:rsidRDefault="009E6745" w:rsidP="009E6745">
            <w:pPr>
              <w:jc w:val="right"/>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rPr>
                <w:rFonts w:ascii="Arial" w:hAnsi="Arial" w:cs="Arial"/>
                <w:color w:val="000000"/>
                <w:sz w:val="22"/>
                <w:szCs w:val="22"/>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6745" w:rsidRPr="009E6745" w:rsidRDefault="009E6745" w:rsidP="009E6745">
            <w:pPr>
              <w:rPr>
                <w:rFonts w:ascii="Calibri" w:hAnsi="Calibri" w:cs="Arial"/>
                <w:b/>
                <w:bCs/>
                <w:color w:val="000000"/>
                <w:sz w:val="22"/>
                <w:szCs w:val="22"/>
              </w:rPr>
            </w:pPr>
            <w:r w:rsidRPr="009E6745">
              <w:rPr>
                <w:rFonts w:ascii="Calibri" w:hAnsi="Calibri" w:cs="Arial"/>
                <w:b/>
                <w:bCs/>
                <w:color w:val="000000"/>
                <w:sz w:val="22"/>
                <w:szCs w:val="22"/>
              </w:rPr>
              <w:t>Totals</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Calibri" w:hAnsi="Calibri" w:cs="Arial"/>
                <w:b/>
                <w:bCs/>
                <w:color w:val="000000"/>
                <w:sz w:val="22"/>
                <w:szCs w:val="22"/>
              </w:rPr>
            </w:pPr>
            <w:r w:rsidRPr="009E6745">
              <w:rPr>
                <w:rFonts w:ascii="Calibri" w:hAnsi="Calibri" w:cs="Arial"/>
                <w:b/>
                <w:bCs/>
                <w:color w:val="000000"/>
                <w:sz w:val="22"/>
                <w:szCs w:val="22"/>
              </w:rPr>
              <w:t xml:space="preserve"> $                  164,938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Calibri" w:hAnsi="Calibri" w:cs="Arial"/>
                <w:b/>
                <w:bCs/>
                <w:color w:val="000000"/>
                <w:sz w:val="22"/>
                <w:szCs w:val="22"/>
              </w:rPr>
            </w:pPr>
            <w:r w:rsidRPr="009E6745">
              <w:rPr>
                <w:rFonts w:ascii="Calibri" w:hAnsi="Calibri" w:cs="Arial"/>
                <w:b/>
                <w:bCs/>
                <w:color w:val="000000"/>
                <w:sz w:val="22"/>
                <w:szCs w:val="22"/>
              </w:rPr>
              <w:t xml:space="preserve"> $                       1,159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Calibri" w:hAnsi="Calibri" w:cs="Arial"/>
                <w:b/>
                <w:bCs/>
                <w:color w:val="000000"/>
                <w:sz w:val="22"/>
                <w:szCs w:val="22"/>
              </w:rPr>
            </w:pPr>
            <w:r w:rsidRPr="009E6745">
              <w:rPr>
                <w:rFonts w:ascii="Calibri" w:hAnsi="Calibri" w:cs="Arial"/>
                <w:b/>
                <w:bCs/>
                <w:color w:val="000000"/>
                <w:sz w:val="22"/>
                <w:szCs w:val="22"/>
              </w:rPr>
              <w:t xml:space="preserve">0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Calibri" w:hAnsi="Calibri" w:cs="Arial"/>
                <w:b/>
                <w:bCs/>
                <w:color w:val="000000"/>
                <w:sz w:val="22"/>
                <w:szCs w:val="22"/>
              </w:rPr>
            </w:pPr>
            <w:r w:rsidRPr="009E6745">
              <w:rPr>
                <w:rFonts w:ascii="Calibri" w:hAnsi="Calibri" w:cs="Arial"/>
                <w:b/>
                <w:bCs/>
                <w:color w:val="000000"/>
                <w:sz w:val="22"/>
                <w:szCs w:val="22"/>
              </w:rPr>
              <w:t xml:space="preserve"> $                    (2,222)</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rPr>
                <w:rFonts w:ascii="Calibri" w:hAnsi="Calibri" w:cs="Arial"/>
                <w:b/>
                <w:bCs/>
                <w:color w:val="000000"/>
                <w:sz w:val="22"/>
                <w:szCs w:val="22"/>
              </w:rPr>
            </w:pPr>
            <w:r w:rsidRPr="009E6745">
              <w:rPr>
                <w:rFonts w:ascii="Calibri" w:hAnsi="Calibri" w:cs="Arial"/>
                <w:b/>
                <w:bCs/>
                <w:color w:val="000000"/>
                <w:sz w:val="22"/>
                <w:szCs w:val="22"/>
              </w:rPr>
              <w:t xml:space="preserve"> $                     163,875 </w:t>
            </w:r>
          </w:p>
        </w:tc>
        <w:tc>
          <w:tcPr>
            <w:tcW w:w="0" w:type="auto"/>
            <w:tcBorders>
              <w:top w:val="nil"/>
              <w:left w:val="nil"/>
              <w:bottom w:val="single" w:sz="4" w:space="0" w:color="auto"/>
              <w:right w:val="single" w:sz="4" w:space="0" w:color="auto"/>
            </w:tcBorders>
            <w:shd w:val="clear" w:color="auto" w:fill="auto"/>
            <w:noWrap/>
            <w:vAlign w:val="bottom"/>
            <w:hideMark/>
          </w:tcPr>
          <w:p w:rsidR="009E6745" w:rsidRPr="009E6745" w:rsidRDefault="009E6745" w:rsidP="009E6745">
            <w:pPr>
              <w:jc w:val="right"/>
              <w:rPr>
                <w:rFonts w:ascii="Calibri" w:hAnsi="Calibri" w:cs="Arial"/>
                <w:b/>
                <w:bCs/>
                <w:color w:val="000000"/>
                <w:sz w:val="22"/>
                <w:szCs w:val="22"/>
              </w:rPr>
            </w:pPr>
            <w:r w:rsidRPr="009E6745">
              <w:rPr>
                <w:rFonts w:ascii="Calibri" w:hAnsi="Calibri" w:cs="Arial"/>
                <w:b/>
                <w:bCs/>
                <w:color w:val="000000"/>
                <w:sz w:val="22"/>
                <w:szCs w:val="22"/>
              </w:rPr>
              <w:t>100%</w:t>
            </w:r>
          </w:p>
        </w:tc>
      </w:tr>
      <w:tr w:rsidR="009E6745" w:rsidRPr="009E6745" w:rsidTr="009E6745">
        <w:trPr>
          <w:trHeight w:val="315"/>
        </w:trPr>
        <w:tc>
          <w:tcPr>
            <w:tcW w:w="0" w:type="auto"/>
            <w:tcBorders>
              <w:top w:val="nil"/>
              <w:left w:val="nil"/>
              <w:bottom w:val="nil"/>
              <w:right w:val="nil"/>
            </w:tcBorders>
            <w:shd w:val="clear" w:color="auto" w:fill="auto"/>
            <w:hideMark/>
          </w:tcPr>
          <w:p w:rsidR="009E6745" w:rsidRPr="009E6745" w:rsidRDefault="009E6745" w:rsidP="009E6745">
            <w:pPr>
              <w:jc w:val="right"/>
              <w:rPr>
                <w:rFonts w:ascii="Calibri" w:hAnsi="Calibri" w:cs="Arial"/>
                <w:b/>
                <w:bCs/>
                <w:color w:val="000000"/>
                <w:sz w:val="22"/>
                <w:szCs w:val="22"/>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rPr>
                <w:sz w:val="20"/>
                <w:szCs w:val="20"/>
              </w:rPr>
            </w:pPr>
          </w:p>
        </w:tc>
        <w:tc>
          <w:tcPr>
            <w:tcW w:w="0" w:type="auto"/>
            <w:tcBorders>
              <w:top w:val="nil"/>
              <w:left w:val="nil"/>
              <w:bottom w:val="double" w:sz="6" w:space="0" w:color="auto"/>
              <w:right w:val="nil"/>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nil"/>
              <w:right w:val="nil"/>
            </w:tcBorders>
            <w:shd w:val="clear" w:color="auto" w:fill="auto"/>
            <w:noWrap/>
            <w:vAlign w:val="bottom"/>
            <w:hideMark/>
          </w:tcPr>
          <w:p w:rsidR="009E6745" w:rsidRPr="009E6745" w:rsidRDefault="009E6745" w:rsidP="009E6745">
            <w:pPr>
              <w:rPr>
                <w:rFonts w:ascii="Arial" w:hAnsi="Arial" w:cs="Arial"/>
                <w:color w:val="000000"/>
                <w:sz w:val="22"/>
                <w:szCs w:val="22"/>
              </w:rPr>
            </w:pPr>
          </w:p>
        </w:tc>
        <w:tc>
          <w:tcPr>
            <w:tcW w:w="0" w:type="auto"/>
            <w:tcBorders>
              <w:top w:val="nil"/>
              <w:left w:val="nil"/>
              <w:bottom w:val="nil"/>
              <w:right w:val="nil"/>
            </w:tcBorders>
            <w:shd w:val="clear" w:color="auto" w:fill="auto"/>
            <w:noWrap/>
            <w:vAlign w:val="bottom"/>
            <w:hideMark/>
          </w:tcPr>
          <w:p w:rsidR="009E6745" w:rsidRPr="009E6745" w:rsidRDefault="009E6745" w:rsidP="009E6745">
            <w:pPr>
              <w:rPr>
                <w:sz w:val="20"/>
                <w:szCs w:val="20"/>
              </w:rPr>
            </w:pPr>
          </w:p>
        </w:tc>
        <w:tc>
          <w:tcPr>
            <w:tcW w:w="0" w:type="auto"/>
            <w:tcBorders>
              <w:top w:val="nil"/>
              <w:left w:val="nil"/>
              <w:bottom w:val="double" w:sz="6" w:space="0" w:color="auto"/>
              <w:right w:val="nil"/>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double" w:sz="6" w:space="0" w:color="auto"/>
              <w:right w:val="nil"/>
            </w:tcBorders>
            <w:shd w:val="clear" w:color="auto" w:fill="auto"/>
            <w:noWrap/>
            <w:vAlign w:val="bottom"/>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w:t>
            </w:r>
          </w:p>
        </w:tc>
        <w:tc>
          <w:tcPr>
            <w:tcW w:w="0" w:type="auto"/>
            <w:tcBorders>
              <w:top w:val="nil"/>
              <w:left w:val="nil"/>
              <w:bottom w:val="double" w:sz="6" w:space="0" w:color="auto"/>
              <w:right w:val="nil"/>
            </w:tcBorders>
            <w:shd w:val="clear" w:color="auto" w:fill="auto"/>
            <w:noWrap/>
            <w:vAlign w:val="bottom"/>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 </w:t>
            </w:r>
          </w:p>
        </w:tc>
      </w:tr>
      <w:tr w:rsidR="009E6745" w:rsidRPr="009E6745" w:rsidTr="009E6745">
        <w:trPr>
          <w:trHeight w:val="315"/>
        </w:trPr>
        <w:tc>
          <w:tcPr>
            <w:tcW w:w="0" w:type="auto"/>
            <w:tcBorders>
              <w:top w:val="nil"/>
              <w:left w:val="nil"/>
              <w:bottom w:val="nil"/>
              <w:right w:val="nil"/>
            </w:tcBorders>
            <w:shd w:val="clear" w:color="auto" w:fill="auto"/>
            <w:hideMark/>
          </w:tcPr>
          <w:p w:rsidR="009E6745" w:rsidRPr="009E6745" w:rsidRDefault="009E6745" w:rsidP="009E6745">
            <w:pPr>
              <w:jc w:val="center"/>
              <w:rPr>
                <w:rFonts w:ascii="Arial" w:hAnsi="Arial" w:cs="Arial"/>
                <w:color w:val="000000"/>
                <w:sz w:val="22"/>
                <w:szCs w:val="22"/>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9E6745">
        <w:trPr>
          <w:trHeight w:val="576"/>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9E6745" w:rsidRPr="009E6745" w:rsidRDefault="009E6745" w:rsidP="009E6745">
            <w:pPr>
              <w:rPr>
                <w:rFonts w:ascii="Arial" w:hAnsi="Arial" w:cs="Arial"/>
                <w:color w:val="000000"/>
                <w:sz w:val="18"/>
                <w:szCs w:val="22"/>
              </w:rPr>
            </w:pPr>
            <w:r w:rsidRPr="009E6745">
              <w:rPr>
                <w:rFonts w:ascii="Calibri" w:hAnsi="Calibri" w:cs="Arial"/>
                <w:b/>
                <w:bCs/>
                <w:color w:val="000000"/>
                <w:sz w:val="18"/>
                <w:szCs w:val="22"/>
              </w:rPr>
              <w:t>TEGBX</w:t>
            </w:r>
            <w:r w:rsidRPr="009E6745">
              <w:rPr>
                <w:rFonts w:ascii="Arial" w:hAnsi="Arial" w:cs="Arial"/>
                <w:color w:val="000000"/>
                <w:sz w:val="18"/>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0" w:type="auto"/>
            <w:tcBorders>
              <w:top w:val="nil"/>
              <w:left w:val="nil"/>
              <w:bottom w:val="nil"/>
              <w:right w:val="nil"/>
            </w:tcBorders>
            <w:shd w:val="clear" w:color="auto" w:fill="auto"/>
            <w:vAlign w:val="center"/>
            <w:hideMark/>
          </w:tcPr>
          <w:p w:rsidR="009E6745" w:rsidRPr="009E6745" w:rsidRDefault="009E6745" w:rsidP="009E6745">
            <w:pPr>
              <w:rPr>
                <w:rFonts w:ascii="Arial" w:hAnsi="Arial" w:cs="Arial"/>
                <w:color w:val="000000"/>
                <w:sz w:val="22"/>
                <w:szCs w:val="22"/>
              </w:rPr>
            </w:pPr>
          </w:p>
        </w:tc>
      </w:tr>
      <w:tr w:rsidR="009E6745" w:rsidRPr="009E6745" w:rsidTr="009E6745">
        <w:trPr>
          <w:trHeight w:val="576"/>
        </w:trPr>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9E6745" w:rsidRPr="009E6745" w:rsidRDefault="009E6745" w:rsidP="009E6745">
            <w:pPr>
              <w:rPr>
                <w:rFonts w:ascii="Arial" w:hAnsi="Arial" w:cs="Arial"/>
                <w:color w:val="000000"/>
                <w:sz w:val="18"/>
                <w:szCs w:val="22"/>
              </w:rPr>
            </w:pPr>
            <w:r w:rsidRPr="009E6745">
              <w:rPr>
                <w:rFonts w:ascii="Calibri" w:hAnsi="Calibri" w:cs="Arial"/>
                <w:b/>
                <w:bCs/>
                <w:color w:val="000000"/>
                <w:sz w:val="18"/>
                <w:szCs w:val="22"/>
              </w:rPr>
              <w:t>FSGCX</w:t>
            </w:r>
            <w:r w:rsidRPr="009E6745">
              <w:rPr>
                <w:rFonts w:ascii="Arial" w:hAnsi="Arial" w:cs="Arial"/>
                <w:color w:val="000000"/>
                <w:sz w:val="18"/>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0" w:type="auto"/>
            <w:tcBorders>
              <w:top w:val="nil"/>
              <w:left w:val="nil"/>
              <w:bottom w:val="nil"/>
              <w:right w:val="nil"/>
            </w:tcBorders>
            <w:shd w:val="clear" w:color="auto" w:fill="auto"/>
            <w:vAlign w:val="center"/>
            <w:hideMark/>
          </w:tcPr>
          <w:p w:rsidR="009E6745" w:rsidRPr="009E6745" w:rsidRDefault="009E6745" w:rsidP="009E6745">
            <w:pPr>
              <w:rPr>
                <w:rFonts w:ascii="Arial" w:hAnsi="Arial" w:cs="Arial"/>
                <w:color w:val="000000"/>
                <w:sz w:val="22"/>
                <w:szCs w:val="22"/>
              </w:rPr>
            </w:pPr>
          </w:p>
        </w:tc>
      </w:tr>
      <w:tr w:rsidR="009E6745" w:rsidRPr="009E6745" w:rsidTr="009E6745">
        <w:trPr>
          <w:trHeight w:val="576"/>
        </w:trPr>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9E6745" w:rsidRPr="009E6745" w:rsidRDefault="009E6745" w:rsidP="009E6745">
            <w:pPr>
              <w:rPr>
                <w:rFonts w:ascii="Arial" w:hAnsi="Arial" w:cs="Arial"/>
                <w:color w:val="000000"/>
                <w:sz w:val="18"/>
                <w:szCs w:val="22"/>
              </w:rPr>
            </w:pPr>
            <w:r w:rsidRPr="009E6745">
              <w:rPr>
                <w:rFonts w:ascii="Calibri" w:hAnsi="Calibri" w:cs="Arial"/>
                <w:b/>
                <w:bCs/>
                <w:color w:val="000000"/>
                <w:sz w:val="18"/>
                <w:szCs w:val="22"/>
              </w:rPr>
              <w:t>FCSCX</w:t>
            </w:r>
            <w:r w:rsidRPr="009E6745">
              <w:rPr>
                <w:rFonts w:ascii="Arial" w:hAnsi="Arial" w:cs="Arial"/>
                <w:color w:val="000000"/>
                <w:sz w:val="18"/>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0" w:type="auto"/>
            <w:tcBorders>
              <w:top w:val="nil"/>
              <w:left w:val="nil"/>
              <w:bottom w:val="nil"/>
              <w:right w:val="nil"/>
            </w:tcBorders>
            <w:shd w:val="clear" w:color="auto" w:fill="auto"/>
            <w:vAlign w:val="center"/>
            <w:hideMark/>
          </w:tcPr>
          <w:p w:rsidR="009E6745" w:rsidRPr="009E6745" w:rsidRDefault="009E6745" w:rsidP="009E6745">
            <w:pPr>
              <w:rPr>
                <w:rFonts w:ascii="Arial" w:hAnsi="Arial" w:cs="Arial"/>
                <w:color w:val="000000"/>
                <w:sz w:val="22"/>
                <w:szCs w:val="22"/>
              </w:rPr>
            </w:pPr>
          </w:p>
        </w:tc>
      </w:tr>
      <w:tr w:rsidR="009E6745" w:rsidRPr="009E6745" w:rsidTr="009E6745">
        <w:trPr>
          <w:trHeight w:val="576"/>
        </w:trPr>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E6745" w:rsidRPr="009E6745" w:rsidRDefault="009E6745" w:rsidP="009E6745">
            <w:pPr>
              <w:rPr>
                <w:rFonts w:ascii="Arial" w:hAnsi="Arial" w:cs="Arial"/>
                <w:color w:val="000000"/>
                <w:sz w:val="18"/>
                <w:szCs w:val="22"/>
              </w:rPr>
            </w:pPr>
            <w:r w:rsidRPr="009E6745">
              <w:rPr>
                <w:rFonts w:ascii="Calibri" w:hAnsi="Calibri" w:cs="Arial"/>
                <w:b/>
                <w:bCs/>
                <w:color w:val="000000"/>
                <w:sz w:val="18"/>
                <w:szCs w:val="22"/>
              </w:rPr>
              <w:t>FRGSX</w:t>
            </w:r>
            <w:r w:rsidRPr="009E6745">
              <w:rPr>
                <w:rFonts w:ascii="Arial" w:hAnsi="Arial" w:cs="Arial"/>
                <w:color w:val="000000"/>
                <w:sz w:val="18"/>
                <w:szCs w:val="22"/>
              </w:rPr>
              <w:t>-Franklin Growth Series Class C- Strategy: The Fund seeks capital appreciation. The Fund primarily invests in equity securities that are leaders in their industries.</w:t>
            </w:r>
          </w:p>
        </w:tc>
        <w:tc>
          <w:tcPr>
            <w:tcW w:w="0" w:type="auto"/>
            <w:tcBorders>
              <w:top w:val="nil"/>
              <w:left w:val="nil"/>
              <w:bottom w:val="nil"/>
              <w:right w:val="nil"/>
            </w:tcBorders>
            <w:shd w:val="clear" w:color="auto" w:fill="auto"/>
            <w:vAlign w:val="center"/>
            <w:hideMark/>
          </w:tcPr>
          <w:p w:rsidR="009E6745" w:rsidRPr="009E6745" w:rsidRDefault="009E6745" w:rsidP="009E6745">
            <w:pPr>
              <w:rPr>
                <w:rFonts w:ascii="Arial" w:hAnsi="Arial" w:cs="Arial"/>
                <w:color w:val="000000"/>
                <w:sz w:val="22"/>
                <w:szCs w:val="22"/>
              </w:rPr>
            </w:pPr>
          </w:p>
        </w:tc>
      </w:tr>
      <w:tr w:rsidR="009E6745" w:rsidRPr="009E6745" w:rsidTr="009E6745">
        <w:trPr>
          <w:trHeight w:val="576"/>
        </w:trPr>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9E6745" w:rsidRPr="009E6745" w:rsidRDefault="009E6745" w:rsidP="009E6745">
            <w:pPr>
              <w:rPr>
                <w:rFonts w:ascii="Arial" w:hAnsi="Arial" w:cs="Arial"/>
                <w:color w:val="000000"/>
                <w:sz w:val="18"/>
                <w:szCs w:val="22"/>
              </w:rPr>
            </w:pPr>
            <w:r w:rsidRPr="009E6745">
              <w:rPr>
                <w:rFonts w:ascii="Calibri" w:hAnsi="Calibri" w:cs="Arial"/>
                <w:b/>
                <w:bCs/>
                <w:color w:val="000000"/>
                <w:sz w:val="18"/>
                <w:szCs w:val="22"/>
              </w:rPr>
              <w:t>FRUGX</w:t>
            </w:r>
            <w:r w:rsidRPr="009E6745">
              <w:rPr>
                <w:rFonts w:ascii="Arial" w:hAnsi="Arial" w:cs="Arial"/>
                <w:color w:val="000000"/>
                <w:sz w:val="18"/>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0" w:type="auto"/>
            <w:tcBorders>
              <w:top w:val="nil"/>
              <w:left w:val="nil"/>
              <w:bottom w:val="nil"/>
              <w:right w:val="nil"/>
            </w:tcBorders>
            <w:shd w:val="clear" w:color="auto" w:fill="auto"/>
            <w:vAlign w:val="center"/>
            <w:hideMark/>
          </w:tcPr>
          <w:p w:rsidR="009E6745" w:rsidRPr="009E6745" w:rsidRDefault="009E6745" w:rsidP="009E6745">
            <w:pPr>
              <w:rPr>
                <w:rFonts w:ascii="Arial" w:hAnsi="Arial" w:cs="Arial"/>
                <w:color w:val="000000"/>
                <w:sz w:val="22"/>
                <w:szCs w:val="22"/>
              </w:rPr>
            </w:pPr>
          </w:p>
        </w:tc>
      </w:tr>
      <w:tr w:rsidR="009E6745" w:rsidRPr="009E6745" w:rsidTr="009E6745">
        <w:trPr>
          <w:trHeight w:val="576"/>
        </w:trPr>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9E6745" w:rsidRPr="009E6745" w:rsidRDefault="009E6745" w:rsidP="009E6745">
            <w:pPr>
              <w:spacing w:after="240"/>
              <w:rPr>
                <w:rFonts w:ascii="Arial" w:hAnsi="Arial" w:cs="Arial"/>
                <w:color w:val="000000"/>
                <w:sz w:val="18"/>
                <w:szCs w:val="22"/>
              </w:rPr>
            </w:pPr>
            <w:r w:rsidRPr="009E6745">
              <w:rPr>
                <w:rFonts w:ascii="Calibri" w:hAnsi="Calibri" w:cs="Arial"/>
                <w:b/>
                <w:bCs/>
                <w:color w:val="000000"/>
                <w:sz w:val="18"/>
                <w:szCs w:val="22"/>
              </w:rPr>
              <w:t>FCISX</w:t>
            </w:r>
            <w:r w:rsidRPr="009E6745">
              <w:rPr>
                <w:rFonts w:ascii="Arial" w:hAnsi="Arial" w:cs="Arial"/>
                <w:color w:val="000000"/>
                <w:sz w:val="18"/>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0" w:type="auto"/>
            <w:tcBorders>
              <w:top w:val="nil"/>
              <w:left w:val="nil"/>
              <w:bottom w:val="nil"/>
              <w:right w:val="nil"/>
            </w:tcBorders>
            <w:shd w:val="clear" w:color="auto" w:fill="auto"/>
            <w:vAlign w:val="center"/>
            <w:hideMark/>
          </w:tcPr>
          <w:p w:rsidR="009E6745" w:rsidRPr="009E6745" w:rsidRDefault="009E6745" w:rsidP="009E6745">
            <w:pPr>
              <w:spacing w:after="240"/>
              <w:rPr>
                <w:rFonts w:ascii="Arial" w:hAnsi="Arial" w:cs="Arial"/>
                <w:color w:val="000000"/>
                <w:sz w:val="22"/>
                <w:szCs w:val="22"/>
              </w:rPr>
            </w:pPr>
          </w:p>
        </w:tc>
      </w:tr>
      <w:tr w:rsidR="009E6745" w:rsidRPr="009E6745" w:rsidTr="009E6745">
        <w:trPr>
          <w:trHeight w:val="150"/>
        </w:trPr>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9E6745">
        <w:trPr>
          <w:trHeight w:val="510"/>
        </w:trPr>
        <w:tc>
          <w:tcPr>
            <w:tcW w:w="0" w:type="auto"/>
            <w:gridSpan w:val="8"/>
            <w:tcBorders>
              <w:top w:val="nil"/>
              <w:left w:val="nil"/>
              <w:bottom w:val="nil"/>
              <w:right w:val="nil"/>
            </w:tcBorders>
            <w:shd w:val="clear" w:color="auto" w:fill="auto"/>
            <w:vAlign w:val="bottom"/>
            <w:hideMark/>
          </w:tcPr>
          <w:p w:rsidR="009E6745" w:rsidRPr="009E6745" w:rsidRDefault="009E6745" w:rsidP="009E6745">
            <w:pPr>
              <w:rPr>
                <w:rFonts w:ascii="Wingdings" w:hAnsi="Wingdings" w:cs="Arial"/>
                <w:color w:val="000000"/>
              </w:rPr>
            </w:pPr>
            <w:r w:rsidRPr="009E6745">
              <w:rPr>
                <w:rFonts w:ascii="Wingdings" w:hAnsi="Wingdings" w:cs="Arial"/>
                <w:color w:val="000000"/>
              </w:rPr>
              <w:t></w:t>
            </w:r>
            <w:r w:rsidRPr="009E6745">
              <w:rPr>
                <w:b/>
                <w:bCs/>
                <w:color w:val="000000"/>
              </w:rPr>
              <w:t xml:space="preserve"> Equipment, Furniture &amp; Vehicles</w:t>
            </w:r>
            <w:r w:rsidRPr="009E6745">
              <w:rPr>
                <w:rFonts w:ascii="Calibri" w:hAnsi="Calibri" w:cs="Arial"/>
                <w:color w:val="000000"/>
              </w:rPr>
              <w:t xml:space="preserve"> -We purchased $4,000 for new computer equipment and $21,894 for new Ford Taurus vehicle.</w:t>
            </w: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Month in Service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Funding Source</w:t>
            </w:r>
          </w:p>
        </w:tc>
        <w:tc>
          <w:tcPr>
            <w:tcW w:w="0" w:type="auto"/>
            <w:tcBorders>
              <w:top w:val="single" w:sz="4" w:space="0" w:color="auto"/>
              <w:left w:val="nil"/>
              <w:bottom w:val="single" w:sz="4" w:space="0" w:color="auto"/>
              <w:right w:val="single" w:sz="4" w:space="0" w:color="auto"/>
            </w:tcBorders>
            <w:shd w:val="clear" w:color="auto" w:fill="auto"/>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Supplier</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Description</w:t>
            </w:r>
          </w:p>
        </w:tc>
        <w:tc>
          <w:tcPr>
            <w:tcW w:w="0" w:type="auto"/>
            <w:tcBorders>
              <w:top w:val="nil"/>
              <w:left w:val="nil"/>
              <w:bottom w:val="single" w:sz="4" w:space="0" w:color="auto"/>
              <w:right w:val="single" w:sz="4" w:space="0" w:color="auto"/>
            </w:tcBorders>
            <w:shd w:val="clear" w:color="auto" w:fill="auto"/>
            <w:hideMark/>
          </w:tcPr>
          <w:p w:rsidR="009E6745" w:rsidRPr="009E6745" w:rsidRDefault="009E6745" w:rsidP="009E6745">
            <w:pPr>
              <w:jc w:val="center"/>
              <w:rPr>
                <w:rFonts w:ascii="Calibri" w:hAnsi="Calibri" w:cs="Arial"/>
                <w:b/>
                <w:bCs/>
                <w:color w:val="000000"/>
                <w:sz w:val="22"/>
                <w:szCs w:val="22"/>
              </w:rPr>
            </w:pPr>
            <w:r w:rsidRPr="009E6745">
              <w:rPr>
                <w:rFonts w:ascii="Calibri" w:hAnsi="Calibri" w:cs="Arial"/>
                <w:b/>
                <w:bCs/>
                <w:color w:val="000000"/>
                <w:sz w:val="22"/>
                <w:szCs w:val="22"/>
              </w:rPr>
              <w:t>Cost</w:t>
            </w:r>
          </w:p>
        </w:tc>
        <w:tc>
          <w:tcPr>
            <w:tcW w:w="0" w:type="auto"/>
            <w:tcBorders>
              <w:top w:val="nil"/>
              <w:left w:val="nil"/>
              <w:bottom w:val="nil"/>
              <w:right w:val="nil"/>
            </w:tcBorders>
            <w:shd w:val="clear" w:color="auto" w:fill="auto"/>
            <w:hideMark/>
          </w:tcPr>
          <w:p w:rsidR="009E6745" w:rsidRPr="009E6745" w:rsidRDefault="009E6745" w:rsidP="009E6745">
            <w:pPr>
              <w:jc w:val="center"/>
              <w:rPr>
                <w:rFonts w:ascii="Calibri" w:hAnsi="Calibri" w:cs="Arial"/>
                <w:b/>
                <w:bCs/>
                <w:color w:val="000000"/>
                <w:sz w:val="22"/>
                <w:szCs w:val="22"/>
              </w:rPr>
            </w:pPr>
          </w:p>
        </w:tc>
      </w:tr>
      <w:tr w:rsidR="009E6745" w:rsidRPr="009E6745" w:rsidTr="009E6745">
        <w:trPr>
          <w:trHeight w:val="60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Mar-18</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RHN</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16"/>
                <w:szCs w:val="16"/>
              </w:rPr>
            </w:pPr>
            <w:r w:rsidRPr="009E6745">
              <w:rPr>
                <w:rFonts w:ascii="Arial" w:hAnsi="Arial" w:cs="Arial"/>
                <w:color w:val="000000"/>
                <w:sz w:val="16"/>
                <w:szCs w:val="16"/>
              </w:rPr>
              <w:t xml:space="preserve"> Intelligent Technology Solutions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Dell Optiplex 7450</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 xml:space="preserve"> $2,094 </w:t>
            </w:r>
          </w:p>
        </w:tc>
        <w:tc>
          <w:tcPr>
            <w:tcW w:w="0" w:type="auto"/>
            <w:tcBorders>
              <w:top w:val="nil"/>
              <w:left w:val="nil"/>
              <w:bottom w:val="nil"/>
              <w:right w:val="nil"/>
            </w:tcBorders>
            <w:shd w:val="clear" w:color="auto" w:fill="auto"/>
            <w:hideMark/>
          </w:tcPr>
          <w:p w:rsidR="009E6745" w:rsidRPr="009E6745" w:rsidRDefault="009E6745" w:rsidP="009E6745">
            <w:pPr>
              <w:jc w:val="center"/>
              <w:rPr>
                <w:rFonts w:ascii="Arial" w:hAnsi="Arial" w:cs="Arial"/>
                <w:color w:val="000000"/>
                <w:sz w:val="22"/>
                <w:szCs w:val="22"/>
              </w:rPr>
            </w:pPr>
          </w:p>
        </w:tc>
      </w:tr>
      <w:tr w:rsidR="009E6745" w:rsidRPr="009E6745" w:rsidTr="009E6745">
        <w:trPr>
          <w:trHeight w:val="60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Mar-18</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RHN</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16"/>
                <w:szCs w:val="16"/>
              </w:rPr>
            </w:pPr>
            <w:r w:rsidRPr="009E6745">
              <w:rPr>
                <w:rFonts w:ascii="Arial" w:hAnsi="Arial" w:cs="Arial"/>
                <w:color w:val="000000"/>
                <w:sz w:val="16"/>
                <w:szCs w:val="16"/>
              </w:rPr>
              <w:t xml:space="preserve"> Intelligent Technology Solutions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Dell Latitude Laptop</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 xml:space="preserve"> $1,010 </w:t>
            </w:r>
          </w:p>
        </w:tc>
        <w:tc>
          <w:tcPr>
            <w:tcW w:w="0" w:type="auto"/>
            <w:tcBorders>
              <w:top w:val="nil"/>
              <w:left w:val="nil"/>
              <w:bottom w:val="nil"/>
              <w:right w:val="nil"/>
            </w:tcBorders>
            <w:shd w:val="clear" w:color="auto" w:fill="auto"/>
            <w:hideMark/>
          </w:tcPr>
          <w:p w:rsidR="009E6745" w:rsidRPr="009E6745" w:rsidRDefault="009E6745" w:rsidP="009E6745">
            <w:pPr>
              <w:jc w:val="center"/>
              <w:rPr>
                <w:rFonts w:ascii="Arial" w:hAnsi="Arial" w:cs="Arial"/>
                <w:color w:val="000000"/>
                <w:sz w:val="22"/>
                <w:szCs w:val="22"/>
              </w:rPr>
            </w:pPr>
          </w:p>
        </w:tc>
      </w:tr>
      <w:tr w:rsidR="009E6745" w:rsidRPr="009E6745" w:rsidTr="009E6745">
        <w:trPr>
          <w:trHeight w:val="60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Mar-18</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RHN</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16"/>
                <w:szCs w:val="16"/>
              </w:rPr>
            </w:pPr>
            <w:r w:rsidRPr="009E6745">
              <w:rPr>
                <w:rFonts w:ascii="Arial" w:hAnsi="Arial" w:cs="Arial"/>
                <w:color w:val="000000"/>
                <w:sz w:val="16"/>
                <w:szCs w:val="16"/>
              </w:rPr>
              <w:t xml:space="preserve"> Intelligent Technology Solutions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Samsung Galaxy Tablet</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 xml:space="preserve"> $</w:t>
            </w:r>
            <w:r>
              <w:rPr>
                <w:rFonts w:ascii="Arial" w:hAnsi="Arial" w:cs="Arial"/>
                <w:color w:val="000000"/>
                <w:sz w:val="22"/>
                <w:szCs w:val="22"/>
              </w:rPr>
              <w:t xml:space="preserve">  </w:t>
            </w:r>
            <w:r w:rsidRPr="009E6745">
              <w:rPr>
                <w:rFonts w:ascii="Arial" w:hAnsi="Arial" w:cs="Arial"/>
                <w:color w:val="000000"/>
                <w:sz w:val="22"/>
                <w:szCs w:val="22"/>
              </w:rPr>
              <w:t xml:space="preserve">896 </w:t>
            </w:r>
          </w:p>
        </w:tc>
        <w:tc>
          <w:tcPr>
            <w:tcW w:w="0" w:type="auto"/>
            <w:tcBorders>
              <w:top w:val="nil"/>
              <w:left w:val="nil"/>
              <w:bottom w:val="nil"/>
              <w:right w:val="nil"/>
            </w:tcBorders>
            <w:shd w:val="clear" w:color="auto" w:fill="auto"/>
            <w:hideMark/>
          </w:tcPr>
          <w:p w:rsidR="009E6745" w:rsidRPr="009E6745" w:rsidRDefault="009E6745" w:rsidP="009E6745">
            <w:pPr>
              <w:jc w:val="center"/>
              <w:rPr>
                <w:rFonts w:ascii="Arial" w:hAnsi="Arial" w:cs="Arial"/>
                <w:color w:val="000000"/>
                <w:sz w:val="22"/>
                <w:szCs w:val="22"/>
              </w:rPr>
            </w:pPr>
          </w:p>
        </w:tc>
      </w:tr>
      <w:tr w:rsidR="009E6745" w:rsidRPr="009E6745" w:rsidTr="009E6745">
        <w:trPr>
          <w:trHeight w:val="60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Apr-18</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Agency</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0"/>
                <w:szCs w:val="20"/>
              </w:rPr>
            </w:pPr>
            <w:r w:rsidRPr="009E6745">
              <w:rPr>
                <w:rFonts w:ascii="Arial" w:hAnsi="Arial" w:cs="Arial"/>
                <w:color w:val="000000"/>
                <w:sz w:val="20"/>
                <w:szCs w:val="20"/>
              </w:rPr>
              <w:t xml:space="preserve"> Genesee Valley Ford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2018 Ford Taurus FWD SE</w:t>
            </w:r>
          </w:p>
        </w:tc>
        <w:tc>
          <w:tcPr>
            <w:tcW w:w="0" w:type="auto"/>
            <w:tcBorders>
              <w:top w:val="nil"/>
              <w:left w:val="nil"/>
              <w:bottom w:val="single" w:sz="4" w:space="0" w:color="auto"/>
              <w:right w:val="single" w:sz="4" w:space="0" w:color="auto"/>
            </w:tcBorders>
            <w:shd w:val="clear" w:color="auto" w:fill="auto"/>
            <w:vAlign w:val="center"/>
            <w:hideMark/>
          </w:tcPr>
          <w:p w:rsidR="009E6745" w:rsidRPr="009E6745" w:rsidRDefault="009E6745" w:rsidP="009E6745">
            <w:pPr>
              <w:jc w:val="center"/>
              <w:rPr>
                <w:rFonts w:ascii="Arial" w:hAnsi="Arial" w:cs="Arial"/>
                <w:color w:val="000000"/>
                <w:sz w:val="22"/>
                <w:szCs w:val="22"/>
              </w:rPr>
            </w:pPr>
            <w:r w:rsidRPr="009E6745">
              <w:rPr>
                <w:rFonts w:ascii="Arial" w:hAnsi="Arial" w:cs="Arial"/>
                <w:color w:val="000000"/>
                <w:sz w:val="22"/>
                <w:szCs w:val="22"/>
              </w:rPr>
              <w:t xml:space="preserve"> $21,894 </w:t>
            </w:r>
          </w:p>
        </w:tc>
        <w:tc>
          <w:tcPr>
            <w:tcW w:w="0" w:type="auto"/>
            <w:tcBorders>
              <w:top w:val="nil"/>
              <w:left w:val="nil"/>
              <w:bottom w:val="nil"/>
              <w:right w:val="nil"/>
            </w:tcBorders>
            <w:shd w:val="clear" w:color="auto" w:fill="auto"/>
            <w:hideMark/>
          </w:tcPr>
          <w:p w:rsidR="009E6745" w:rsidRPr="009E6745" w:rsidRDefault="009E6745" w:rsidP="009E6745">
            <w:pPr>
              <w:jc w:val="center"/>
              <w:rPr>
                <w:rFonts w:ascii="Arial" w:hAnsi="Arial" w:cs="Arial"/>
                <w:color w:val="000000"/>
                <w:sz w:val="22"/>
                <w:szCs w:val="22"/>
              </w:rPr>
            </w:pPr>
          </w:p>
        </w:tc>
      </w:tr>
      <w:tr w:rsidR="009E6745" w:rsidRPr="009E6745" w:rsidTr="009E6745">
        <w:trPr>
          <w:trHeight w:val="30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jc w:val="right"/>
              <w:rPr>
                <w:rFonts w:ascii="Arial" w:hAnsi="Arial" w:cs="Arial"/>
                <w:color w:val="000000"/>
                <w:sz w:val="22"/>
                <w:szCs w:val="22"/>
              </w:rPr>
            </w:pPr>
            <w:r w:rsidRPr="009E6745">
              <w:rPr>
                <w:rFonts w:ascii="Arial" w:hAnsi="Arial" w:cs="Arial"/>
                <w:color w:val="000000"/>
                <w:sz w:val="22"/>
                <w:szCs w:val="22"/>
              </w:rPr>
              <w:t>Total</w:t>
            </w:r>
          </w:p>
        </w:tc>
        <w:tc>
          <w:tcPr>
            <w:tcW w:w="0" w:type="auto"/>
            <w:tcBorders>
              <w:top w:val="nil"/>
              <w:left w:val="single" w:sz="4" w:space="0" w:color="auto"/>
              <w:bottom w:val="single" w:sz="4" w:space="0" w:color="auto"/>
              <w:right w:val="single" w:sz="4" w:space="0" w:color="auto"/>
            </w:tcBorders>
            <w:shd w:val="clear" w:color="auto" w:fill="auto"/>
            <w:hideMark/>
          </w:tcPr>
          <w:p w:rsidR="009E6745" w:rsidRPr="009E6745" w:rsidRDefault="009E6745" w:rsidP="009E6745">
            <w:pPr>
              <w:rPr>
                <w:rFonts w:ascii="Arial" w:hAnsi="Arial" w:cs="Arial"/>
                <w:color w:val="000000"/>
                <w:sz w:val="22"/>
                <w:szCs w:val="22"/>
              </w:rPr>
            </w:pPr>
            <w:r w:rsidRPr="009E6745">
              <w:rPr>
                <w:rFonts w:ascii="Arial" w:hAnsi="Arial" w:cs="Arial"/>
                <w:color w:val="000000"/>
                <w:sz w:val="22"/>
                <w:szCs w:val="22"/>
              </w:rPr>
              <w:t xml:space="preserve"> </w:t>
            </w:r>
            <w:r>
              <w:rPr>
                <w:rFonts w:ascii="Arial" w:hAnsi="Arial" w:cs="Arial"/>
                <w:color w:val="000000"/>
                <w:sz w:val="22"/>
                <w:szCs w:val="22"/>
              </w:rPr>
              <w:t xml:space="preserve">      </w:t>
            </w:r>
            <w:r w:rsidRPr="009E6745">
              <w:rPr>
                <w:rFonts w:ascii="Arial" w:hAnsi="Arial" w:cs="Arial"/>
                <w:color w:val="000000"/>
                <w:sz w:val="22"/>
                <w:szCs w:val="22"/>
              </w:rPr>
              <w:t xml:space="preserve">$25,894 </w:t>
            </w:r>
          </w:p>
        </w:tc>
        <w:tc>
          <w:tcPr>
            <w:tcW w:w="0" w:type="auto"/>
            <w:tcBorders>
              <w:top w:val="nil"/>
              <w:left w:val="nil"/>
              <w:bottom w:val="nil"/>
              <w:right w:val="nil"/>
            </w:tcBorders>
            <w:shd w:val="clear" w:color="auto" w:fill="auto"/>
            <w:hideMark/>
          </w:tcPr>
          <w:p w:rsidR="009E6745" w:rsidRPr="009E6745" w:rsidRDefault="009E6745" w:rsidP="009E6745">
            <w:pPr>
              <w:rPr>
                <w:rFonts w:ascii="Arial" w:hAnsi="Arial" w:cs="Arial"/>
                <w:color w:val="000000"/>
                <w:sz w:val="22"/>
                <w:szCs w:val="22"/>
              </w:rPr>
            </w:pPr>
          </w:p>
        </w:tc>
      </w:tr>
      <w:tr w:rsidR="009E6745" w:rsidRPr="009E6745" w:rsidTr="000D1B37">
        <w:trPr>
          <w:trHeight w:val="70"/>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jc w:val="right"/>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9E6745">
        <w:trPr>
          <w:trHeight w:val="225"/>
        </w:trPr>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hideMark/>
          </w:tcPr>
          <w:p w:rsidR="009E6745" w:rsidRPr="009E6745" w:rsidRDefault="009E6745" w:rsidP="009E6745">
            <w:pPr>
              <w:rPr>
                <w:sz w:val="20"/>
                <w:szCs w:val="20"/>
              </w:rPr>
            </w:pPr>
          </w:p>
        </w:tc>
      </w:tr>
      <w:tr w:rsidR="009E6745" w:rsidRPr="009E6745" w:rsidTr="000D1B37">
        <w:trPr>
          <w:trHeight w:val="126"/>
        </w:trPr>
        <w:tc>
          <w:tcPr>
            <w:tcW w:w="0" w:type="auto"/>
            <w:gridSpan w:val="8"/>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r w:rsidRPr="009E6745">
              <w:rPr>
                <w:rFonts w:ascii="Wingdings" w:hAnsi="Wingdings" w:cs="Arial"/>
                <w:color w:val="000000"/>
              </w:rPr>
              <w:t></w:t>
            </w:r>
            <w:r w:rsidRPr="009E6745">
              <w:rPr>
                <w:b/>
                <w:bCs/>
                <w:color w:val="000000"/>
              </w:rPr>
              <w:t xml:space="preserve">Accounts Payable - </w:t>
            </w:r>
            <w:r w:rsidRPr="009E6745">
              <w:rPr>
                <w:rFonts w:ascii="Calibri" w:hAnsi="Calibri" w:cs="Arial"/>
                <w:color w:val="000000"/>
              </w:rPr>
              <w:t xml:space="preserve">At April 30, 2018, accounts payable lability is $19,186 and all AP liability is being paid timely within 28 days except CSP Clinical Services which gets paid once NYS pays CCCHC. </w:t>
            </w:r>
          </w:p>
        </w:tc>
      </w:tr>
      <w:tr w:rsidR="009E6745" w:rsidRPr="009E6745" w:rsidTr="009E6745">
        <w:trPr>
          <w:trHeight w:val="80"/>
        </w:trPr>
        <w:tc>
          <w:tcPr>
            <w:tcW w:w="0" w:type="auto"/>
            <w:tcBorders>
              <w:top w:val="nil"/>
              <w:left w:val="nil"/>
              <w:bottom w:val="nil"/>
              <w:right w:val="nil"/>
            </w:tcBorders>
            <w:shd w:val="clear" w:color="auto" w:fill="auto"/>
            <w:vAlign w:val="center"/>
            <w:hideMark/>
          </w:tcPr>
          <w:p w:rsidR="009E6745" w:rsidRPr="009E6745" w:rsidRDefault="009E6745" w:rsidP="009E6745">
            <w:pPr>
              <w:rPr>
                <w:rFonts w:ascii="Wingdings" w:hAnsi="Wingdings" w:cs="Arial"/>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r>
      <w:tr w:rsidR="009E6745" w:rsidRPr="009E6745" w:rsidTr="009E6745">
        <w:trPr>
          <w:trHeight w:val="660"/>
        </w:trPr>
        <w:tc>
          <w:tcPr>
            <w:tcW w:w="0" w:type="auto"/>
            <w:gridSpan w:val="8"/>
            <w:tcBorders>
              <w:top w:val="nil"/>
              <w:left w:val="nil"/>
              <w:bottom w:val="nil"/>
              <w:right w:val="nil"/>
            </w:tcBorders>
            <w:shd w:val="clear" w:color="auto" w:fill="auto"/>
            <w:vAlign w:val="bottom"/>
            <w:hideMark/>
          </w:tcPr>
          <w:p w:rsidR="009E6745" w:rsidRPr="009E6745" w:rsidRDefault="009E6745" w:rsidP="009E6745">
            <w:pPr>
              <w:rPr>
                <w:rFonts w:ascii="Wingdings" w:hAnsi="Wingdings" w:cs="Arial"/>
                <w:color w:val="000000"/>
              </w:rPr>
            </w:pPr>
            <w:r w:rsidRPr="009E6745">
              <w:rPr>
                <w:rFonts w:ascii="Wingdings" w:hAnsi="Wingdings" w:cs="Arial"/>
                <w:color w:val="000000"/>
              </w:rPr>
              <w:t></w:t>
            </w:r>
            <w:r w:rsidRPr="009E6745">
              <w:rPr>
                <w:color w:val="000000"/>
              </w:rPr>
              <w:t xml:space="preserve"> </w:t>
            </w:r>
            <w:r w:rsidRPr="009E6745">
              <w:rPr>
                <w:b/>
                <w:bCs/>
                <w:color w:val="000000"/>
              </w:rPr>
              <w:t>Line of Credit</w:t>
            </w:r>
            <w:r w:rsidRPr="009E6745">
              <w:rPr>
                <w:rFonts w:ascii="Calibri" w:hAnsi="Calibri" w:cs="Arial"/>
                <w:color w:val="000000"/>
              </w:rPr>
              <w:t xml:space="preserve"> - Received notification from The Bank of Greene County. Bank renewed our $100,000 line for another twelve months until August 1, 2018. Request recently submitted to renew line for another twelve months.</w:t>
            </w: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rPr>
                <w:rFonts w:ascii="Wingdings" w:hAnsi="Wingdings" w:cs="Arial"/>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rPr>
                <w:sz w:val="20"/>
                <w:szCs w:val="20"/>
              </w:rPr>
            </w:pPr>
          </w:p>
        </w:tc>
      </w:tr>
      <w:tr w:rsidR="009E6745" w:rsidRPr="009E6745" w:rsidTr="009E6745">
        <w:trPr>
          <w:trHeight w:val="1950"/>
        </w:trPr>
        <w:tc>
          <w:tcPr>
            <w:tcW w:w="0" w:type="auto"/>
            <w:gridSpan w:val="8"/>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r w:rsidRPr="009E6745">
              <w:rPr>
                <w:rFonts w:ascii="Wingdings" w:hAnsi="Wingdings" w:cs="Arial"/>
                <w:color w:val="000000"/>
              </w:rPr>
              <w:t></w:t>
            </w:r>
            <w:r w:rsidRPr="009E6745">
              <w:rPr>
                <w:color w:val="000000"/>
              </w:rPr>
              <w:t xml:space="preserve"> </w:t>
            </w:r>
            <w:r w:rsidRPr="009E6745">
              <w:rPr>
                <w:rFonts w:ascii="Calibri" w:hAnsi="Calibri" w:cs="Arial"/>
                <w:b/>
                <w:bCs/>
                <w:color w:val="000000"/>
              </w:rPr>
              <w:t>Advance Funding Payable</w:t>
            </w:r>
            <w:r w:rsidRPr="009E6745">
              <w:rPr>
                <w:rFonts w:ascii="Calibri" w:hAnsi="Calibri" w:cs="Arial"/>
                <w:color w:val="000000"/>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April 30, 2018,</w:t>
            </w: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rPr>
                <w:rFonts w:ascii="Wingdings" w:hAnsi="Wingdings" w:cs="Arial"/>
                <w:color w:val="00000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Fund Name</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 xml:space="preserve">Beginning Balance at January 1st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 Contributions</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&lt;Distributions&gt;</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Ending Balance at April 30, 2018</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3"/>
            <w:tcBorders>
              <w:top w:val="nil"/>
              <w:left w:val="nil"/>
              <w:bottom w:val="nil"/>
              <w:right w:val="nil"/>
            </w:tcBorders>
            <w:shd w:val="clear" w:color="auto" w:fill="auto"/>
            <w:vAlign w:val="center"/>
            <w:hideMark/>
          </w:tcPr>
          <w:p w:rsidR="009E6745" w:rsidRPr="009E6745" w:rsidRDefault="009E6745" w:rsidP="009E6745">
            <w:pPr>
              <w:rPr>
                <w:b/>
                <w:bCs/>
                <w:color w:val="000000"/>
              </w:rPr>
            </w:pPr>
            <w:r w:rsidRPr="009E6745">
              <w:rPr>
                <w:b/>
                <w:bCs/>
                <w:color w:val="000000"/>
              </w:rPr>
              <w:t>Foundation for Community Health</w:t>
            </w:r>
          </w:p>
        </w:tc>
        <w:tc>
          <w:tcPr>
            <w:tcW w:w="0" w:type="auto"/>
            <w:tcBorders>
              <w:top w:val="nil"/>
              <w:left w:val="nil"/>
              <w:bottom w:val="nil"/>
              <w:right w:val="nil"/>
            </w:tcBorders>
            <w:shd w:val="clear" w:color="auto" w:fill="auto"/>
            <w:vAlign w:val="center"/>
            <w:hideMark/>
          </w:tcPr>
          <w:p w:rsidR="009E6745" w:rsidRPr="009E6745" w:rsidRDefault="009E6745" w:rsidP="009E6745">
            <w:pPr>
              <w:rPr>
                <w:b/>
                <w:bCs/>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ind w:firstLineChars="200" w:firstLine="480"/>
              <w:rPr>
                <w:color w:val="000000"/>
              </w:rPr>
            </w:pPr>
            <w:r w:rsidRPr="009E6745">
              <w:rPr>
                <w:color w:val="000000"/>
              </w:rPr>
              <w:t>Prescription Access</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8,728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(860)</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7,868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ind w:firstLineChars="200" w:firstLine="480"/>
              <w:rPr>
                <w:color w:val="000000"/>
              </w:rPr>
            </w:pPr>
            <w:r w:rsidRPr="009E6745">
              <w:rPr>
                <w:color w:val="000000"/>
              </w:rPr>
              <w:t>Transportation</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25,000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(8,231)</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16,769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b/>
                <w:bCs/>
                <w:color w:val="000000"/>
              </w:rPr>
            </w:pPr>
            <w:r w:rsidRPr="009E6745">
              <w:rPr>
                <w:b/>
                <w:bCs/>
                <w:color w:val="000000"/>
              </w:rPr>
              <w:t>Dyson Foundation</w:t>
            </w:r>
          </w:p>
        </w:tc>
        <w:tc>
          <w:tcPr>
            <w:tcW w:w="0" w:type="auto"/>
            <w:tcBorders>
              <w:top w:val="nil"/>
              <w:left w:val="nil"/>
              <w:bottom w:val="nil"/>
              <w:right w:val="nil"/>
            </w:tcBorders>
            <w:shd w:val="clear" w:color="auto" w:fill="auto"/>
            <w:vAlign w:val="center"/>
            <w:hideMark/>
          </w:tcPr>
          <w:p w:rsidR="009E6745" w:rsidRPr="009E6745" w:rsidRDefault="009E6745" w:rsidP="009E6745">
            <w:pPr>
              <w:rPr>
                <w:b/>
                <w:bCs/>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0D1B37">
            <w:pPr>
              <w:ind w:firstLineChars="200" w:firstLine="480"/>
              <w:rPr>
                <w:color w:val="000000"/>
              </w:rPr>
            </w:pPr>
            <w:r w:rsidRPr="009E6745">
              <w:rPr>
                <w:color w:val="000000"/>
              </w:rPr>
              <w:t>Prescription Access</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4,081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18,000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(5,713)</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16,368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b/>
                <w:bCs/>
                <w:color w:val="000000"/>
              </w:rPr>
            </w:pPr>
            <w:r w:rsidRPr="009E6745">
              <w:rPr>
                <w:b/>
                <w:bCs/>
                <w:color w:val="000000"/>
              </w:rPr>
              <w:t>NYS Grant Advances</w:t>
            </w:r>
          </w:p>
        </w:tc>
        <w:tc>
          <w:tcPr>
            <w:tcW w:w="0" w:type="auto"/>
            <w:tcBorders>
              <w:top w:val="nil"/>
              <w:left w:val="nil"/>
              <w:bottom w:val="nil"/>
              <w:right w:val="nil"/>
            </w:tcBorders>
            <w:shd w:val="clear" w:color="auto" w:fill="auto"/>
            <w:vAlign w:val="center"/>
            <w:hideMark/>
          </w:tcPr>
          <w:p w:rsidR="009E6745" w:rsidRPr="009E6745" w:rsidRDefault="009E6745" w:rsidP="009E6745">
            <w:pPr>
              <w:rPr>
                <w:b/>
                <w:bCs/>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0D1B37" w:rsidP="009E6745">
            <w:pPr>
              <w:ind w:firstLineChars="200" w:firstLine="480"/>
              <w:rPr>
                <w:color w:val="000000"/>
              </w:rPr>
            </w:pPr>
            <w:r>
              <w:rPr>
                <w:color w:val="000000"/>
              </w:rPr>
              <w:t>CSP</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2,878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(2,878)</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0D1B37">
            <w:pPr>
              <w:ind w:firstLineChars="200" w:firstLine="480"/>
              <w:rPr>
                <w:color w:val="000000"/>
              </w:rPr>
            </w:pPr>
            <w:r w:rsidRPr="009E6745">
              <w:rPr>
                <w:color w:val="000000"/>
              </w:rPr>
              <w:t xml:space="preserve">Tobacco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38,365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(38,365)</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r>
      <w:tr w:rsidR="009E6745" w:rsidRPr="009E6745" w:rsidTr="000D1B37">
        <w:trPr>
          <w:trHeight w:val="20"/>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jc w:val="right"/>
              <w:rPr>
                <w:b/>
                <w:bCs/>
                <w:color w:val="000000"/>
              </w:rPr>
            </w:pPr>
            <w:r w:rsidRPr="009E6745">
              <w:rPr>
                <w:b/>
                <w:bCs/>
                <w:color w:val="000000"/>
              </w:rPr>
              <w:t>Total Advance Funding Payable</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80,798 </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18,000 </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(57,792)</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41,005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22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right"/>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right"/>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r>
      <w:tr w:rsidR="009E6745" w:rsidRPr="009E6745" w:rsidTr="009E6745">
        <w:trPr>
          <w:trHeight w:val="1350"/>
        </w:trPr>
        <w:tc>
          <w:tcPr>
            <w:tcW w:w="0" w:type="auto"/>
            <w:gridSpan w:val="8"/>
            <w:tcBorders>
              <w:top w:val="nil"/>
              <w:left w:val="nil"/>
              <w:bottom w:val="nil"/>
              <w:right w:val="nil"/>
            </w:tcBorders>
            <w:shd w:val="clear" w:color="auto" w:fill="auto"/>
            <w:hideMark/>
          </w:tcPr>
          <w:p w:rsidR="009E6745" w:rsidRPr="009E6745" w:rsidRDefault="009E6745" w:rsidP="009E6745">
            <w:pPr>
              <w:rPr>
                <w:rFonts w:ascii="Wingdings" w:hAnsi="Wingdings" w:cs="Arial"/>
                <w:color w:val="000000"/>
              </w:rPr>
            </w:pPr>
            <w:r w:rsidRPr="009E6745">
              <w:rPr>
                <w:rFonts w:ascii="Wingdings" w:hAnsi="Wingdings" w:cs="Arial"/>
                <w:color w:val="000000"/>
              </w:rPr>
              <w:lastRenderedPageBreak/>
              <w:t></w:t>
            </w:r>
            <w:r w:rsidRPr="009E6745">
              <w:rPr>
                <w:color w:val="000000"/>
              </w:rPr>
              <w:t xml:space="preserve"> </w:t>
            </w:r>
            <w:r w:rsidRPr="009E6745">
              <w:rPr>
                <w:rFonts w:ascii="Calibri" w:hAnsi="Calibri" w:cs="Arial"/>
                <w:b/>
                <w:bCs/>
                <w:color w:val="000000"/>
              </w:rPr>
              <w:t>Temporary Restricted Funds</w:t>
            </w:r>
            <w:r w:rsidRPr="009E6745">
              <w:rPr>
                <w:rFonts w:ascii="Calibri" w:hAnsi="Calibri" w:cs="Arial"/>
                <w:color w:val="000000"/>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April 30, 2018: </w:t>
            </w:r>
          </w:p>
        </w:tc>
      </w:tr>
      <w:tr w:rsidR="009E6745" w:rsidRPr="009E6745" w:rsidTr="009E6745">
        <w:trPr>
          <w:trHeight w:val="945"/>
        </w:trPr>
        <w:tc>
          <w:tcPr>
            <w:tcW w:w="0" w:type="auto"/>
            <w:tcBorders>
              <w:top w:val="nil"/>
              <w:left w:val="nil"/>
              <w:bottom w:val="nil"/>
              <w:right w:val="nil"/>
            </w:tcBorders>
            <w:shd w:val="clear" w:color="auto" w:fill="auto"/>
            <w:vAlign w:val="center"/>
            <w:hideMark/>
          </w:tcPr>
          <w:p w:rsidR="009E6745" w:rsidRPr="009E6745" w:rsidRDefault="009E6745" w:rsidP="009E6745">
            <w:pPr>
              <w:rPr>
                <w:rFonts w:ascii="Wingdings" w:hAnsi="Wingdings" w:cs="Arial"/>
                <w:color w:val="00000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Fund Name</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 xml:space="preserve">Beginning Balance at January 1st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 Contributions</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&lt;Distributions&gt;</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r w:rsidRPr="009E6745">
              <w:rPr>
                <w:b/>
                <w:bCs/>
                <w:color w:val="000000"/>
              </w:rPr>
              <w:t>Ending Balance at April 30, 2018</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b/>
                <w:bCs/>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color w:val="000000"/>
              </w:rPr>
            </w:pPr>
            <w:r w:rsidRPr="009E6745">
              <w:rPr>
                <w:color w:val="000000"/>
              </w:rPr>
              <w:t>Columbia County</w:t>
            </w:r>
            <w:r w:rsidRPr="009E6745">
              <w:rPr>
                <w:color w:val="000000"/>
                <w:sz w:val="22"/>
                <w:szCs w:val="22"/>
              </w:rPr>
              <w:t xml:space="preserve"> -</w:t>
            </w:r>
            <w:r w:rsidRPr="009E6745">
              <w:rPr>
                <w:color w:val="000000"/>
                <w:sz w:val="18"/>
                <w:szCs w:val="18"/>
              </w:rPr>
              <w:t>CARTS &amp; Receptionist</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50,000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(16,667)</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33,333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color w:val="000000"/>
              </w:rPr>
            </w:pPr>
            <w:r w:rsidRPr="009E6745">
              <w:rPr>
                <w:color w:val="000000"/>
              </w:rPr>
              <w:t>Columbia County Depts.-CARTS</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19,000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(6,333)</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12,667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color w:val="000000"/>
              </w:rPr>
            </w:pPr>
            <w:r w:rsidRPr="009E6745">
              <w:rPr>
                <w:color w:val="000000"/>
              </w:rPr>
              <w:t>Columbia County Cancer Fund</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22,810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250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(3,003)</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20,057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color w:val="000000"/>
              </w:rPr>
            </w:pPr>
            <w:r w:rsidRPr="009E6745">
              <w:rPr>
                <w:color w:val="000000"/>
              </w:rPr>
              <w:t>Greene County Cancer Fund</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9,543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1,040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(1,038)</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9,545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color w:val="000000"/>
              </w:rPr>
            </w:pPr>
            <w:r w:rsidRPr="009E6745">
              <w:rPr>
                <w:color w:val="000000"/>
              </w:rPr>
              <w:t>Complementary Therapies Fund</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5,385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(580)</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4,805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rPr>
                <w:color w:val="000000"/>
              </w:rPr>
            </w:pPr>
            <w:r w:rsidRPr="009E6745">
              <w:rPr>
                <w:color w:val="000000"/>
              </w:rPr>
              <w:t>Jan Koweek Fund</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1,101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1,101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r w:rsidRPr="009E6745">
              <w:rPr>
                <w:color w:val="000000"/>
              </w:rPr>
              <w:t xml:space="preserve">                            -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r w:rsidR="009E6745" w:rsidRPr="009E6745" w:rsidTr="009E6745">
        <w:trPr>
          <w:trHeight w:val="315"/>
        </w:trPr>
        <w:tc>
          <w:tcPr>
            <w:tcW w:w="0" w:type="auto"/>
            <w:tcBorders>
              <w:top w:val="nil"/>
              <w:left w:val="nil"/>
              <w:bottom w:val="nil"/>
              <w:right w:val="nil"/>
            </w:tcBorders>
            <w:shd w:val="clear" w:color="auto" w:fill="auto"/>
            <w:vAlign w:val="center"/>
            <w:hideMark/>
          </w:tcPr>
          <w:p w:rsidR="009E6745" w:rsidRPr="009E6745" w:rsidRDefault="009E6745" w:rsidP="009E6745">
            <w:pPr>
              <w:jc w:val="center"/>
              <w:rPr>
                <w:sz w:val="20"/>
                <w:szCs w:val="20"/>
              </w:rPr>
            </w:pPr>
          </w:p>
        </w:tc>
        <w:tc>
          <w:tcPr>
            <w:tcW w:w="0" w:type="auto"/>
            <w:gridSpan w:val="2"/>
            <w:tcBorders>
              <w:top w:val="nil"/>
              <w:left w:val="nil"/>
              <w:bottom w:val="nil"/>
              <w:right w:val="nil"/>
            </w:tcBorders>
            <w:shd w:val="clear" w:color="auto" w:fill="auto"/>
            <w:vAlign w:val="center"/>
            <w:hideMark/>
          </w:tcPr>
          <w:p w:rsidR="009E6745" w:rsidRPr="009E6745" w:rsidRDefault="009E6745" w:rsidP="009E6745">
            <w:pPr>
              <w:jc w:val="right"/>
              <w:rPr>
                <w:color w:val="000000"/>
              </w:rPr>
            </w:pPr>
            <w:r w:rsidRPr="009E6745">
              <w:rPr>
                <w:color w:val="000000"/>
              </w:rPr>
              <w:t>Totals of Temporary Restricted Funds</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38,839 </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70,290 </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(27,621)</w:t>
            </w:r>
          </w:p>
        </w:tc>
        <w:tc>
          <w:tcPr>
            <w:tcW w:w="0" w:type="auto"/>
            <w:tcBorders>
              <w:top w:val="single" w:sz="4" w:space="0" w:color="auto"/>
              <w:left w:val="nil"/>
              <w:bottom w:val="double" w:sz="6" w:space="0" w:color="auto"/>
              <w:right w:val="nil"/>
            </w:tcBorders>
            <w:shd w:val="clear" w:color="auto" w:fill="auto"/>
            <w:vAlign w:val="center"/>
            <w:hideMark/>
          </w:tcPr>
          <w:p w:rsidR="009E6745" w:rsidRPr="009E6745" w:rsidRDefault="009E6745" w:rsidP="000D1B37">
            <w:pPr>
              <w:jc w:val="center"/>
              <w:rPr>
                <w:color w:val="000000"/>
              </w:rPr>
            </w:pPr>
            <w:r w:rsidRPr="009E6745">
              <w:rPr>
                <w:color w:val="000000"/>
              </w:rPr>
              <w:t xml:space="preserve"> $       81,508 </w:t>
            </w:r>
          </w:p>
        </w:tc>
        <w:tc>
          <w:tcPr>
            <w:tcW w:w="0" w:type="auto"/>
            <w:tcBorders>
              <w:top w:val="nil"/>
              <w:left w:val="nil"/>
              <w:bottom w:val="nil"/>
              <w:right w:val="nil"/>
            </w:tcBorders>
            <w:shd w:val="clear" w:color="auto" w:fill="auto"/>
            <w:vAlign w:val="center"/>
            <w:hideMark/>
          </w:tcPr>
          <w:p w:rsidR="009E6745" w:rsidRPr="009E6745" w:rsidRDefault="009E6745" w:rsidP="009E6745">
            <w:pPr>
              <w:jc w:val="center"/>
              <w:rPr>
                <w:color w:val="000000"/>
              </w:rPr>
            </w:pPr>
          </w:p>
        </w:tc>
      </w:tr>
    </w:tbl>
    <w:p w:rsidR="00385B16" w:rsidRPr="00990131" w:rsidRDefault="00385B16" w:rsidP="009E5527"/>
    <w:sectPr w:rsidR="00385B16" w:rsidRPr="00990131" w:rsidSect="00151D8B">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1"/>
  </w:num>
  <w:num w:numId="7">
    <w:abstractNumId w:val="7"/>
  </w:num>
  <w:num w:numId="8">
    <w:abstractNumId w:val="6"/>
  </w:num>
  <w:num w:numId="9">
    <w:abstractNumId w:val="18"/>
  </w:num>
  <w:num w:numId="10">
    <w:abstractNumId w:val="13"/>
  </w:num>
  <w:num w:numId="11">
    <w:abstractNumId w:val="12"/>
  </w:num>
  <w:num w:numId="12">
    <w:abstractNumId w:val="17"/>
  </w:num>
  <w:num w:numId="13">
    <w:abstractNumId w:val="16"/>
  </w:num>
  <w:num w:numId="14">
    <w:abstractNumId w:val="14"/>
  </w:num>
  <w:num w:numId="15">
    <w:abstractNumId w:val="3"/>
  </w:num>
  <w:num w:numId="16">
    <w:abstractNumId w:val="1"/>
  </w:num>
  <w:num w:numId="17">
    <w:abstractNumId w:val="8"/>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536C"/>
    <w:rsid w:val="00026EB6"/>
    <w:rsid w:val="00037A04"/>
    <w:rsid w:val="00062538"/>
    <w:rsid w:val="00064B5F"/>
    <w:rsid w:val="00071F28"/>
    <w:rsid w:val="00081710"/>
    <w:rsid w:val="0009460C"/>
    <w:rsid w:val="000963AD"/>
    <w:rsid w:val="00097F59"/>
    <w:rsid w:val="000A2D35"/>
    <w:rsid w:val="000B6DD7"/>
    <w:rsid w:val="000C2104"/>
    <w:rsid w:val="000D1B37"/>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22A6E"/>
    <w:rsid w:val="002413F8"/>
    <w:rsid w:val="00247C27"/>
    <w:rsid w:val="00252DCF"/>
    <w:rsid w:val="002901B2"/>
    <w:rsid w:val="002A5029"/>
    <w:rsid w:val="002A5131"/>
    <w:rsid w:val="002B263C"/>
    <w:rsid w:val="002B6DEC"/>
    <w:rsid w:val="002B78E6"/>
    <w:rsid w:val="002C083B"/>
    <w:rsid w:val="002C0B80"/>
    <w:rsid w:val="002C2381"/>
    <w:rsid w:val="002C4573"/>
    <w:rsid w:val="002E2F64"/>
    <w:rsid w:val="0030688B"/>
    <w:rsid w:val="00342789"/>
    <w:rsid w:val="00350A8C"/>
    <w:rsid w:val="00352709"/>
    <w:rsid w:val="003624D1"/>
    <w:rsid w:val="00385B16"/>
    <w:rsid w:val="003918B4"/>
    <w:rsid w:val="003F79C4"/>
    <w:rsid w:val="00412DDD"/>
    <w:rsid w:val="00413C58"/>
    <w:rsid w:val="004159EC"/>
    <w:rsid w:val="00421F8B"/>
    <w:rsid w:val="00472B51"/>
    <w:rsid w:val="00475C88"/>
    <w:rsid w:val="004760AF"/>
    <w:rsid w:val="00480FCD"/>
    <w:rsid w:val="004A10B9"/>
    <w:rsid w:val="004C488F"/>
    <w:rsid w:val="004E0E27"/>
    <w:rsid w:val="004E41EF"/>
    <w:rsid w:val="004F7032"/>
    <w:rsid w:val="0050320B"/>
    <w:rsid w:val="00515E81"/>
    <w:rsid w:val="005509C2"/>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6211B"/>
    <w:rsid w:val="006764D2"/>
    <w:rsid w:val="00690525"/>
    <w:rsid w:val="006C5404"/>
    <w:rsid w:val="006C7D2A"/>
    <w:rsid w:val="006D2900"/>
    <w:rsid w:val="006D2E29"/>
    <w:rsid w:val="006D5967"/>
    <w:rsid w:val="006E7DAB"/>
    <w:rsid w:val="006F5559"/>
    <w:rsid w:val="0070203E"/>
    <w:rsid w:val="007130EC"/>
    <w:rsid w:val="00742E9B"/>
    <w:rsid w:val="007432A5"/>
    <w:rsid w:val="00746F3D"/>
    <w:rsid w:val="00752B9A"/>
    <w:rsid w:val="00796B31"/>
    <w:rsid w:val="007D1B36"/>
    <w:rsid w:val="007D77E8"/>
    <w:rsid w:val="007E15C2"/>
    <w:rsid w:val="007E43C8"/>
    <w:rsid w:val="007F6823"/>
    <w:rsid w:val="00810247"/>
    <w:rsid w:val="00843353"/>
    <w:rsid w:val="00847547"/>
    <w:rsid w:val="00855300"/>
    <w:rsid w:val="008630E4"/>
    <w:rsid w:val="008700A0"/>
    <w:rsid w:val="0088470F"/>
    <w:rsid w:val="008A2296"/>
    <w:rsid w:val="008B76AC"/>
    <w:rsid w:val="008C4914"/>
    <w:rsid w:val="008C496F"/>
    <w:rsid w:val="008D1778"/>
    <w:rsid w:val="008F4187"/>
    <w:rsid w:val="009115A7"/>
    <w:rsid w:val="0091350F"/>
    <w:rsid w:val="0091567E"/>
    <w:rsid w:val="00921C0E"/>
    <w:rsid w:val="009232D6"/>
    <w:rsid w:val="009333B2"/>
    <w:rsid w:val="00941F5A"/>
    <w:rsid w:val="00943D31"/>
    <w:rsid w:val="00971B37"/>
    <w:rsid w:val="00990131"/>
    <w:rsid w:val="00990FBF"/>
    <w:rsid w:val="009C4F61"/>
    <w:rsid w:val="009C541E"/>
    <w:rsid w:val="009D18D2"/>
    <w:rsid w:val="009E5527"/>
    <w:rsid w:val="009E6745"/>
    <w:rsid w:val="00A02AD5"/>
    <w:rsid w:val="00A03133"/>
    <w:rsid w:val="00A176E2"/>
    <w:rsid w:val="00A17DE4"/>
    <w:rsid w:val="00A31D3D"/>
    <w:rsid w:val="00A42B94"/>
    <w:rsid w:val="00A47703"/>
    <w:rsid w:val="00A512A1"/>
    <w:rsid w:val="00A56E15"/>
    <w:rsid w:val="00A7348F"/>
    <w:rsid w:val="00A806B4"/>
    <w:rsid w:val="00A82A4A"/>
    <w:rsid w:val="00A96EC7"/>
    <w:rsid w:val="00AA4696"/>
    <w:rsid w:val="00AF0735"/>
    <w:rsid w:val="00AF5F37"/>
    <w:rsid w:val="00B241BE"/>
    <w:rsid w:val="00B44232"/>
    <w:rsid w:val="00B50F4B"/>
    <w:rsid w:val="00B568C6"/>
    <w:rsid w:val="00B57C39"/>
    <w:rsid w:val="00B60BAB"/>
    <w:rsid w:val="00B71B2B"/>
    <w:rsid w:val="00B75C3E"/>
    <w:rsid w:val="00B816D9"/>
    <w:rsid w:val="00BE2FC7"/>
    <w:rsid w:val="00BE50D6"/>
    <w:rsid w:val="00BE521E"/>
    <w:rsid w:val="00BE76E2"/>
    <w:rsid w:val="00BF2184"/>
    <w:rsid w:val="00C14518"/>
    <w:rsid w:val="00C27C64"/>
    <w:rsid w:val="00C31650"/>
    <w:rsid w:val="00C50DA8"/>
    <w:rsid w:val="00C827EF"/>
    <w:rsid w:val="00C95C54"/>
    <w:rsid w:val="00CA7BEE"/>
    <w:rsid w:val="00CC293F"/>
    <w:rsid w:val="00CE1DBC"/>
    <w:rsid w:val="00CE644A"/>
    <w:rsid w:val="00D01490"/>
    <w:rsid w:val="00D12FA2"/>
    <w:rsid w:val="00D14318"/>
    <w:rsid w:val="00D2044F"/>
    <w:rsid w:val="00D46062"/>
    <w:rsid w:val="00D70608"/>
    <w:rsid w:val="00D81AA6"/>
    <w:rsid w:val="00D94F56"/>
    <w:rsid w:val="00DA2F4A"/>
    <w:rsid w:val="00DA6950"/>
    <w:rsid w:val="00DB62FF"/>
    <w:rsid w:val="00E40D99"/>
    <w:rsid w:val="00E455C8"/>
    <w:rsid w:val="00E81E94"/>
    <w:rsid w:val="00E91034"/>
    <w:rsid w:val="00E917BE"/>
    <w:rsid w:val="00EB0D94"/>
    <w:rsid w:val="00EB380D"/>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169805699">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554929784">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1935090959">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2RWYOEIO\CCCHC%20Financial%20Report%2004%2030%202018%20_.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2RWYOEIO\CCCHC%20Financial%20Report%2004%2030%202018%20_.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974514055308301E-2"/>
          <c:y val="0.18706673213183977"/>
          <c:w val="0.89931682452736883"/>
          <c:h val="0.58213003749082681"/>
        </c:manualLayout>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Data!$A$265:$A$631</c:f>
              <c:numCache>
                <c:formatCode>[$-F800]dddd\,\ mmmm\ dd\,\ yyyy</c:formatCode>
                <c:ptCount val="367"/>
                <c:pt idx="0">
                  <c:v>42737</c:v>
                </c:pt>
                <c:pt idx="1">
                  <c:v>42738</c:v>
                </c:pt>
                <c:pt idx="2">
                  <c:v>42739</c:v>
                </c:pt>
                <c:pt idx="3">
                  <c:v>42740</c:v>
                </c:pt>
                <c:pt idx="4">
                  <c:v>42741</c:v>
                </c:pt>
                <c:pt idx="5">
                  <c:v>42744</c:v>
                </c:pt>
                <c:pt idx="6">
                  <c:v>42745</c:v>
                </c:pt>
                <c:pt idx="7">
                  <c:v>42746</c:v>
                </c:pt>
                <c:pt idx="8">
                  <c:v>42747</c:v>
                </c:pt>
                <c:pt idx="9">
                  <c:v>42748</c:v>
                </c:pt>
                <c:pt idx="10">
                  <c:v>42751</c:v>
                </c:pt>
                <c:pt idx="11">
                  <c:v>42752</c:v>
                </c:pt>
                <c:pt idx="12">
                  <c:v>42753</c:v>
                </c:pt>
                <c:pt idx="13">
                  <c:v>42754</c:v>
                </c:pt>
                <c:pt idx="14">
                  <c:v>42755</c:v>
                </c:pt>
                <c:pt idx="15">
                  <c:v>42758</c:v>
                </c:pt>
                <c:pt idx="16">
                  <c:v>42759</c:v>
                </c:pt>
                <c:pt idx="17">
                  <c:v>42760</c:v>
                </c:pt>
                <c:pt idx="18">
                  <c:v>42761</c:v>
                </c:pt>
                <c:pt idx="19">
                  <c:v>42762</c:v>
                </c:pt>
                <c:pt idx="20">
                  <c:v>42765</c:v>
                </c:pt>
                <c:pt idx="21">
                  <c:v>42766</c:v>
                </c:pt>
                <c:pt idx="22">
                  <c:v>42767</c:v>
                </c:pt>
                <c:pt idx="23">
                  <c:v>42768</c:v>
                </c:pt>
                <c:pt idx="24">
                  <c:v>42769</c:v>
                </c:pt>
                <c:pt idx="25">
                  <c:v>42772</c:v>
                </c:pt>
                <c:pt idx="26">
                  <c:v>42773</c:v>
                </c:pt>
                <c:pt idx="27">
                  <c:v>42774</c:v>
                </c:pt>
                <c:pt idx="28">
                  <c:v>42775</c:v>
                </c:pt>
                <c:pt idx="29">
                  <c:v>42776</c:v>
                </c:pt>
                <c:pt idx="30">
                  <c:v>42779</c:v>
                </c:pt>
                <c:pt idx="31">
                  <c:v>42780</c:v>
                </c:pt>
                <c:pt idx="32">
                  <c:v>42781</c:v>
                </c:pt>
                <c:pt idx="33">
                  <c:v>42782</c:v>
                </c:pt>
                <c:pt idx="34">
                  <c:v>42783</c:v>
                </c:pt>
                <c:pt idx="35">
                  <c:v>42785</c:v>
                </c:pt>
                <c:pt idx="36">
                  <c:v>42787</c:v>
                </c:pt>
                <c:pt idx="37">
                  <c:v>42788</c:v>
                </c:pt>
                <c:pt idx="38">
                  <c:v>42789</c:v>
                </c:pt>
                <c:pt idx="39">
                  <c:v>42790</c:v>
                </c:pt>
                <c:pt idx="40">
                  <c:v>42793</c:v>
                </c:pt>
                <c:pt idx="41">
                  <c:v>42794</c:v>
                </c:pt>
                <c:pt idx="42">
                  <c:v>42795</c:v>
                </c:pt>
                <c:pt idx="43">
                  <c:v>42796</c:v>
                </c:pt>
                <c:pt idx="44">
                  <c:v>42797</c:v>
                </c:pt>
                <c:pt idx="45">
                  <c:v>42800</c:v>
                </c:pt>
                <c:pt idx="46">
                  <c:v>42801</c:v>
                </c:pt>
                <c:pt idx="47">
                  <c:v>42802</c:v>
                </c:pt>
                <c:pt idx="48">
                  <c:v>42803</c:v>
                </c:pt>
                <c:pt idx="49">
                  <c:v>42804</c:v>
                </c:pt>
                <c:pt idx="50">
                  <c:v>42807</c:v>
                </c:pt>
                <c:pt idx="51">
                  <c:v>42808</c:v>
                </c:pt>
                <c:pt idx="52">
                  <c:v>42809</c:v>
                </c:pt>
                <c:pt idx="53">
                  <c:v>42810</c:v>
                </c:pt>
                <c:pt idx="54">
                  <c:v>42811</c:v>
                </c:pt>
                <c:pt idx="55">
                  <c:v>42814</c:v>
                </c:pt>
                <c:pt idx="56">
                  <c:v>42815</c:v>
                </c:pt>
                <c:pt idx="57">
                  <c:v>42816</c:v>
                </c:pt>
                <c:pt idx="58">
                  <c:v>42817</c:v>
                </c:pt>
                <c:pt idx="59">
                  <c:v>42818</c:v>
                </c:pt>
                <c:pt idx="60">
                  <c:v>42821</c:v>
                </c:pt>
                <c:pt idx="61">
                  <c:v>42822</c:v>
                </c:pt>
                <c:pt idx="62">
                  <c:v>42823</c:v>
                </c:pt>
                <c:pt idx="63">
                  <c:v>42824</c:v>
                </c:pt>
                <c:pt idx="64">
                  <c:v>42825</c:v>
                </c:pt>
                <c:pt idx="65">
                  <c:v>42828</c:v>
                </c:pt>
                <c:pt idx="66">
                  <c:v>42829</c:v>
                </c:pt>
                <c:pt idx="67">
                  <c:v>42830</c:v>
                </c:pt>
                <c:pt idx="68">
                  <c:v>42831</c:v>
                </c:pt>
                <c:pt idx="69">
                  <c:v>42832</c:v>
                </c:pt>
                <c:pt idx="70">
                  <c:v>42835</c:v>
                </c:pt>
                <c:pt idx="71">
                  <c:v>42836</c:v>
                </c:pt>
                <c:pt idx="72">
                  <c:v>42837</c:v>
                </c:pt>
                <c:pt idx="73">
                  <c:v>42838</c:v>
                </c:pt>
                <c:pt idx="74">
                  <c:v>42839</c:v>
                </c:pt>
                <c:pt idx="75">
                  <c:v>42842</c:v>
                </c:pt>
                <c:pt idx="76">
                  <c:v>42843</c:v>
                </c:pt>
                <c:pt idx="77">
                  <c:v>42844</c:v>
                </c:pt>
                <c:pt idx="78">
                  <c:v>42845</c:v>
                </c:pt>
                <c:pt idx="79">
                  <c:v>42846</c:v>
                </c:pt>
                <c:pt idx="80">
                  <c:v>42849</c:v>
                </c:pt>
                <c:pt idx="81">
                  <c:v>42850</c:v>
                </c:pt>
                <c:pt idx="82">
                  <c:v>42851</c:v>
                </c:pt>
                <c:pt idx="83">
                  <c:v>42852</c:v>
                </c:pt>
                <c:pt idx="84">
                  <c:v>42853</c:v>
                </c:pt>
                <c:pt idx="85">
                  <c:v>42856</c:v>
                </c:pt>
                <c:pt idx="86">
                  <c:v>42857</c:v>
                </c:pt>
                <c:pt idx="87">
                  <c:v>42858</c:v>
                </c:pt>
                <c:pt idx="88">
                  <c:v>42859</c:v>
                </c:pt>
                <c:pt idx="89">
                  <c:v>42860</c:v>
                </c:pt>
                <c:pt idx="90">
                  <c:v>42863</c:v>
                </c:pt>
                <c:pt idx="91">
                  <c:v>42864</c:v>
                </c:pt>
                <c:pt idx="92">
                  <c:v>42865</c:v>
                </c:pt>
                <c:pt idx="93">
                  <c:v>42866</c:v>
                </c:pt>
                <c:pt idx="94">
                  <c:v>42867</c:v>
                </c:pt>
                <c:pt idx="95">
                  <c:v>42870</c:v>
                </c:pt>
                <c:pt idx="96">
                  <c:v>42871</c:v>
                </c:pt>
                <c:pt idx="97">
                  <c:v>42872</c:v>
                </c:pt>
                <c:pt idx="98">
                  <c:v>42873</c:v>
                </c:pt>
                <c:pt idx="99">
                  <c:v>42874</c:v>
                </c:pt>
                <c:pt idx="100">
                  <c:v>42877</c:v>
                </c:pt>
                <c:pt idx="101">
                  <c:v>42878</c:v>
                </c:pt>
                <c:pt idx="102">
                  <c:v>42879</c:v>
                </c:pt>
                <c:pt idx="103">
                  <c:v>42880</c:v>
                </c:pt>
                <c:pt idx="104">
                  <c:v>42881</c:v>
                </c:pt>
                <c:pt idx="105">
                  <c:v>42884</c:v>
                </c:pt>
                <c:pt idx="106">
                  <c:v>42885</c:v>
                </c:pt>
                <c:pt idx="107">
                  <c:v>42886</c:v>
                </c:pt>
                <c:pt idx="108">
                  <c:v>42887</c:v>
                </c:pt>
                <c:pt idx="109">
                  <c:v>42888</c:v>
                </c:pt>
                <c:pt idx="110">
                  <c:v>42891</c:v>
                </c:pt>
                <c:pt idx="111">
                  <c:v>42892</c:v>
                </c:pt>
                <c:pt idx="112">
                  <c:v>42893</c:v>
                </c:pt>
                <c:pt idx="113">
                  <c:v>42894</c:v>
                </c:pt>
                <c:pt idx="114">
                  <c:v>42895</c:v>
                </c:pt>
                <c:pt idx="115">
                  <c:v>42898</c:v>
                </c:pt>
                <c:pt idx="116">
                  <c:v>42899</c:v>
                </c:pt>
                <c:pt idx="117">
                  <c:v>42900</c:v>
                </c:pt>
                <c:pt idx="118">
                  <c:v>42901</c:v>
                </c:pt>
                <c:pt idx="119">
                  <c:v>42902</c:v>
                </c:pt>
                <c:pt idx="120">
                  <c:v>42905</c:v>
                </c:pt>
                <c:pt idx="121">
                  <c:v>42906</c:v>
                </c:pt>
                <c:pt idx="122">
                  <c:v>42907</c:v>
                </c:pt>
                <c:pt idx="123">
                  <c:v>42908</c:v>
                </c:pt>
                <c:pt idx="124">
                  <c:v>42909</c:v>
                </c:pt>
                <c:pt idx="125">
                  <c:v>42912</c:v>
                </c:pt>
                <c:pt idx="126">
                  <c:v>42913</c:v>
                </c:pt>
                <c:pt idx="127">
                  <c:v>42914</c:v>
                </c:pt>
                <c:pt idx="128">
                  <c:v>42915</c:v>
                </c:pt>
                <c:pt idx="129">
                  <c:v>42916</c:v>
                </c:pt>
                <c:pt idx="130">
                  <c:v>42919</c:v>
                </c:pt>
                <c:pt idx="131">
                  <c:v>42920</c:v>
                </c:pt>
                <c:pt idx="132">
                  <c:v>42921</c:v>
                </c:pt>
                <c:pt idx="133">
                  <c:v>42922</c:v>
                </c:pt>
                <c:pt idx="134">
                  <c:v>42923</c:v>
                </c:pt>
                <c:pt idx="135">
                  <c:v>42926</c:v>
                </c:pt>
                <c:pt idx="136">
                  <c:v>42927</c:v>
                </c:pt>
                <c:pt idx="137">
                  <c:v>42928</c:v>
                </c:pt>
                <c:pt idx="138">
                  <c:v>42929</c:v>
                </c:pt>
                <c:pt idx="139">
                  <c:v>42930</c:v>
                </c:pt>
                <c:pt idx="140">
                  <c:v>42933</c:v>
                </c:pt>
                <c:pt idx="141">
                  <c:v>42934</c:v>
                </c:pt>
                <c:pt idx="142">
                  <c:v>42935</c:v>
                </c:pt>
                <c:pt idx="143">
                  <c:v>42936</c:v>
                </c:pt>
                <c:pt idx="144">
                  <c:v>42937</c:v>
                </c:pt>
                <c:pt idx="145">
                  <c:v>42940</c:v>
                </c:pt>
                <c:pt idx="146">
                  <c:v>42941</c:v>
                </c:pt>
                <c:pt idx="147">
                  <c:v>42942</c:v>
                </c:pt>
                <c:pt idx="148">
                  <c:v>42943</c:v>
                </c:pt>
                <c:pt idx="149">
                  <c:v>42944</c:v>
                </c:pt>
                <c:pt idx="150">
                  <c:v>42947</c:v>
                </c:pt>
                <c:pt idx="151">
                  <c:v>42948</c:v>
                </c:pt>
                <c:pt idx="152">
                  <c:v>42949</c:v>
                </c:pt>
                <c:pt idx="153">
                  <c:v>42950</c:v>
                </c:pt>
                <c:pt idx="154">
                  <c:v>42951</c:v>
                </c:pt>
                <c:pt idx="155">
                  <c:v>42954</c:v>
                </c:pt>
                <c:pt idx="156">
                  <c:v>42955</c:v>
                </c:pt>
                <c:pt idx="157">
                  <c:v>42956</c:v>
                </c:pt>
                <c:pt idx="158">
                  <c:v>42957</c:v>
                </c:pt>
                <c:pt idx="159">
                  <c:v>42958</c:v>
                </c:pt>
                <c:pt idx="160">
                  <c:v>42961</c:v>
                </c:pt>
                <c:pt idx="161">
                  <c:v>42962</c:v>
                </c:pt>
                <c:pt idx="162">
                  <c:v>42963</c:v>
                </c:pt>
                <c:pt idx="163">
                  <c:v>42964</c:v>
                </c:pt>
                <c:pt idx="164">
                  <c:v>42965</c:v>
                </c:pt>
                <c:pt idx="165">
                  <c:v>42968</c:v>
                </c:pt>
                <c:pt idx="166">
                  <c:v>42969</c:v>
                </c:pt>
                <c:pt idx="167">
                  <c:v>42970</c:v>
                </c:pt>
                <c:pt idx="168">
                  <c:v>42971</c:v>
                </c:pt>
                <c:pt idx="169">
                  <c:v>42972</c:v>
                </c:pt>
                <c:pt idx="170">
                  <c:v>42975</c:v>
                </c:pt>
                <c:pt idx="171">
                  <c:v>42976</c:v>
                </c:pt>
                <c:pt idx="172">
                  <c:v>42977</c:v>
                </c:pt>
                <c:pt idx="173">
                  <c:v>42978</c:v>
                </c:pt>
                <c:pt idx="174">
                  <c:v>42979</c:v>
                </c:pt>
                <c:pt idx="175">
                  <c:v>42982</c:v>
                </c:pt>
                <c:pt idx="176">
                  <c:v>42983</c:v>
                </c:pt>
                <c:pt idx="177">
                  <c:v>42984</c:v>
                </c:pt>
                <c:pt idx="178">
                  <c:v>42985</c:v>
                </c:pt>
                <c:pt idx="179">
                  <c:v>42986</c:v>
                </c:pt>
                <c:pt idx="180">
                  <c:v>42989</c:v>
                </c:pt>
                <c:pt idx="181">
                  <c:v>42990</c:v>
                </c:pt>
                <c:pt idx="182">
                  <c:v>42991</c:v>
                </c:pt>
                <c:pt idx="183">
                  <c:v>42992</c:v>
                </c:pt>
                <c:pt idx="184">
                  <c:v>42993</c:v>
                </c:pt>
                <c:pt idx="185">
                  <c:v>42996</c:v>
                </c:pt>
                <c:pt idx="186">
                  <c:v>42997</c:v>
                </c:pt>
                <c:pt idx="187">
                  <c:v>42998</c:v>
                </c:pt>
                <c:pt idx="188">
                  <c:v>42999</c:v>
                </c:pt>
                <c:pt idx="189">
                  <c:v>43000</c:v>
                </c:pt>
                <c:pt idx="190">
                  <c:v>43003</c:v>
                </c:pt>
                <c:pt idx="191">
                  <c:v>43004</c:v>
                </c:pt>
                <c:pt idx="192">
                  <c:v>43005</c:v>
                </c:pt>
                <c:pt idx="193">
                  <c:v>43006</c:v>
                </c:pt>
                <c:pt idx="194">
                  <c:v>43007</c:v>
                </c:pt>
                <c:pt idx="195">
                  <c:v>43010</c:v>
                </c:pt>
                <c:pt idx="196">
                  <c:v>43011</c:v>
                </c:pt>
                <c:pt idx="197">
                  <c:v>43012</c:v>
                </c:pt>
                <c:pt idx="198">
                  <c:v>43013</c:v>
                </c:pt>
                <c:pt idx="199">
                  <c:v>43014</c:v>
                </c:pt>
                <c:pt idx="200">
                  <c:v>43017</c:v>
                </c:pt>
                <c:pt idx="201">
                  <c:v>43018</c:v>
                </c:pt>
                <c:pt idx="202">
                  <c:v>43019</c:v>
                </c:pt>
                <c:pt idx="203">
                  <c:v>43020</c:v>
                </c:pt>
                <c:pt idx="204">
                  <c:v>43021</c:v>
                </c:pt>
                <c:pt idx="205">
                  <c:v>43024</c:v>
                </c:pt>
                <c:pt idx="206">
                  <c:v>43025</c:v>
                </c:pt>
                <c:pt idx="207">
                  <c:v>43026</c:v>
                </c:pt>
                <c:pt idx="208">
                  <c:v>43027</c:v>
                </c:pt>
                <c:pt idx="209">
                  <c:v>43028</c:v>
                </c:pt>
                <c:pt idx="210">
                  <c:v>43031</c:v>
                </c:pt>
                <c:pt idx="211">
                  <c:v>43032</c:v>
                </c:pt>
                <c:pt idx="212">
                  <c:v>43033</c:v>
                </c:pt>
                <c:pt idx="213">
                  <c:v>43034</c:v>
                </c:pt>
                <c:pt idx="214">
                  <c:v>43035</c:v>
                </c:pt>
                <c:pt idx="215">
                  <c:v>43038</c:v>
                </c:pt>
                <c:pt idx="216">
                  <c:v>43039</c:v>
                </c:pt>
                <c:pt idx="217">
                  <c:v>43040</c:v>
                </c:pt>
                <c:pt idx="218">
                  <c:v>43041</c:v>
                </c:pt>
                <c:pt idx="219">
                  <c:v>43042</c:v>
                </c:pt>
                <c:pt idx="220">
                  <c:v>43045</c:v>
                </c:pt>
                <c:pt idx="221">
                  <c:v>43046</c:v>
                </c:pt>
                <c:pt idx="222">
                  <c:v>43047</c:v>
                </c:pt>
                <c:pt idx="223">
                  <c:v>43048</c:v>
                </c:pt>
                <c:pt idx="224">
                  <c:v>43049</c:v>
                </c:pt>
                <c:pt idx="225">
                  <c:v>43052</c:v>
                </c:pt>
                <c:pt idx="226">
                  <c:v>43053</c:v>
                </c:pt>
                <c:pt idx="227">
                  <c:v>43054</c:v>
                </c:pt>
                <c:pt idx="228">
                  <c:v>43055</c:v>
                </c:pt>
                <c:pt idx="229">
                  <c:v>43056</c:v>
                </c:pt>
                <c:pt idx="230">
                  <c:v>43059</c:v>
                </c:pt>
                <c:pt idx="231">
                  <c:v>43060</c:v>
                </c:pt>
                <c:pt idx="232">
                  <c:v>43061</c:v>
                </c:pt>
                <c:pt idx="233">
                  <c:v>43062</c:v>
                </c:pt>
                <c:pt idx="234">
                  <c:v>43063</c:v>
                </c:pt>
                <c:pt idx="235">
                  <c:v>43066</c:v>
                </c:pt>
                <c:pt idx="236">
                  <c:v>43067</c:v>
                </c:pt>
                <c:pt idx="237">
                  <c:v>43068</c:v>
                </c:pt>
                <c:pt idx="238">
                  <c:v>43069</c:v>
                </c:pt>
                <c:pt idx="239">
                  <c:v>43070</c:v>
                </c:pt>
                <c:pt idx="240">
                  <c:v>43073</c:v>
                </c:pt>
                <c:pt idx="241">
                  <c:v>43074</c:v>
                </c:pt>
                <c:pt idx="242">
                  <c:v>43075</c:v>
                </c:pt>
                <c:pt idx="243">
                  <c:v>43076</c:v>
                </c:pt>
                <c:pt idx="244">
                  <c:v>43077</c:v>
                </c:pt>
                <c:pt idx="245">
                  <c:v>43080</c:v>
                </c:pt>
                <c:pt idx="246">
                  <c:v>43081</c:v>
                </c:pt>
                <c:pt idx="247">
                  <c:v>43082</c:v>
                </c:pt>
                <c:pt idx="248">
                  <c:v>43083</c:v>
                </c:pt>
                <c:pt idx="249">
                  <c:v>43084</c:v>
                </c:pt>
                <c:pt idx="250">
                  <c:v>43087</c:v>
                </c:pt>
                <c:pt idx="251">
                  <c:v>43088</c:v>
                </c:pt>
                <c:pt idx="252">
                  <c:v>43089</c:v>
                </c:pt>
                <c:pt idx="253">
                  <c:v>43090</c:v>
                </c:pt>
                <c:pt idx="254">
                  <c:v>43091</c:v>
                </c:pt>
                <c:pt idx="255">
                  <c:v>43094</c:v>
                </c:pt>
                <c:pt idx="256">
                  <c:v>43095</c:v>
                </c:pt>
                <c:pt idx="257">
                  <c:v>43096</c:v>
                </c:pt>
                <c:pt idx="258">
                  <c:v>43097</c:v>
                </c:pt>
                <c:pt idx="259">
                  <c:v>43098</c:v>
                </c:pt>
                <c:pt idx="260">
                  <c:v>43101</c:v>
                </c:pt>
                <c:pt idx="261">
                  <c:v>43102</c:v>
                </c:pt>
                <c:pt idx="262">
                  <c:v>43103</c:v>
                </c:pt>
                <c:pt idx="263">
                  <c:v>43104</c:v>
                </c:pt>
                <c:pt idx="264">
                  <c:v>43105</c:v>
                </c:pt>
                <c:pt idx="265">
                  <c:v>43108</c:v>
                </c:pt>
                <c:pt idx="266">
                  <c:v>43109</c:v>
                </c:pt>
                <c:pt idx="267">
                  <c:v>43110</c:v>
                </c:pt>
                <c:pt idx="268">
                  <c:v>43111</c:v>
                </c:pt>
                <c:pt idx="269">
                  <c:v>43112</c:v>
                </c:pt>
                <c:pt idx="270">
                  <c:v>43115</c:v>
                </c:pt>
                <c:pt idx="271">
                  <c:v>43116</c:v>
                </c:pt>
                <c:pt idx="272">
                  <c:v>43117</c:v>
                </c:pt>
                <c:pt idx="273">
                  <c:v>43118</c:v>
                </c:pt>
                <c:pt idx="274">
                  <c:v>43119</c:v>
                </c:pt>
                <c:pt idx="275">
                  <c:v>43122</c:v>
                </c:pt>
                <c:pt idx="276">
                  <c:v>43123</c:v>
                </c:pt>
                <c:pt idx="277">
                  <c:v>43124</c:v>
                </c:pt>
                <c:pt idx="278">
                  <c:v>43125</c:v>
                </c:pt>
                <c:pt idx="279">
                  <c:v>43126</c:v>
                </c:pt>
                <c:pt idx="280">
                  <c:v>43129</c:v>
                </c:pt>
                <c:pt idx="281">
                  <c:v>43130</c:v>
                </c:pt>
                <c:pt idx="282">
                  <c:v>43131</c:v>
                </c:pt>
                <c:pt idx="283">
                  <c:v>43132</c:v>
                </c:pt>
                <c:pt idx="284">
                  <c:v>43133</c:v>
                </c:pt>
                <c:pt idx="285">
                  <c:v>43136</c:v>
                </c:pt>
                <c:pt idx="286">
                  <c:v>43137</c:v>
                </c:pt>
                <c:pt idx="287">
                  <c:v>43138</c:v>
                </c:pt>
                <c:pt idx="288">
                  <c:v>43139</c:v>
                </c:pt>
                <c:pt idx="289">
                  <c:v>43140</c:v>
                </c:pt>
                <c:pt idx="290">
                  <c:v>43143</c:v>
                </c:pt>
                <c:pt idx="291">
                  <c:v>43144</c:v>
                </c:pt>
                <c:pt idx="292">
                  <c:v>43145</c:v>
                </c:pt>
                <c:pt idx="293">
                  <c:v>43146</c:v>
                </c:pt>
                <c:pt idx="294">
                  <c:v>43147</c:v>
                </c:pt>
                <c:pt idx="295">
                  <c:v>43150</c:v>
                </c:pt>
                <c:pt idx="296">
                  <c:v>43151</c:v>
                </c:pt>
                <c:pt idx="297">
                  <c:v>43152</c:v>
                </c:pt>
                <c:pt idx="298">
                  <c:v>43153</c:v>
                </c:pt>
                <c:pt idx="299">
                  <c:v>43154</c:v>
                </c:pt>
                <c:pt idx="300">
                  <c:v>43157</c:v>
                </c:pt>
                <c:pt idx="301">
                  <c:v>43158</c:v>
                </c:pt>
                <c:pt idx="302">
                  <c:v>43159</c:v>
                </c:pt>
                <c:pt idx="303">
                  <c:v>43160</c:v>
                </c:pt>
                <c:pt idx="304">
                  <c:v>43161</c:v>
                </c:pt>
                <c:pt idx="305">
                  <c:v>43164</c:v>
                </c:pt>
                <c:pt idx="306">
                  <c:v>43165</c:v>
                </c:pt>
                <c:pt idx="307">
                  <c:v>43166</c:v>
                </c:pt>
                <c:pt idx="308">
                  <c:v>43167</c:v>
                </c:pt>
                <c:pt idx="309">
                  <c:v>43168</c:v>
                </c:pt>
                <c:pt idx="310">
                  <c:v>43171</c:v>
                </c:pt>
                <c:pt idx="311">
                  <c:v>43172</c:v>
                </c:pt>
                <c:pt idx="312">
                  <c:v>43173</c:v>
                </c:pt>
                <c:pt idx="313">
                  <c:v>43174</c:v>
                </c:pt>
                <c:pt idx="314">
                  <c:v>43175</c:v>
                </c:pt>
                <c:pt idx="315">
                  <c:v>43178</c:v>
                </c:pt>
                <c:pt idx="316">
                  <c:v>43179</c:v>
                </c:pt>
                <c:pt idx="317">
                  <c:v>43180</c:v>
                </c:pt>
                <c:pt idx="318">
                  <c:v>43181</c:v>
                </c:pt>
                <c:pt idx="319">
                  <c:v>43182</c:v>
                </c:pt>
                <c:pt idx="320">
                  <c:v>43185</c:v>
                </c:pt>
                <c:pt idx="321">
                  <c:v>43186</c:v>
                </c:pt>
                <c:pt idx="322">
                  <c:v>43187</c:v>
                </c:pt>
                <c:pt idx="323">
                  <c:v>43188</c:v>
                </c:pt>
                <c:pt idx="324">
                  <c:v>43189</c:v>
                </c:pt>
                <c:pt idx="325">
                  <c:v>43192</c:v>
                </c:pt>
                <c:pt idx="326">
                  <c:v>43193</c:v>
                </c:pt>
                <c:pt idx="327">
                  <c:v>43194</c:v>
                </c:pt>
                <c:pt idx="328">
                  <c:v>43195</c:v>
                </c:pt>
                <c:pt idx="329">
                  <c:v>43196</c:v>
                </c:pt>
                <c:pt idx="330">
                  <c:v>43199</c:v>
                </c:pt>
                <c:pt idx="331">
                  <c:v>43200</c:v>
                </c:pt>
                <c:pt idx="332">
                  <c:v>43201</c:v>
                </c:pt>
                <c:pt idx="333">
                  <c:v>43202</c:v>
                </c:pt>
                <c:pt idx="334">
                  <c:v>43203</c:v>
                </c:pt>
                <c:pt idx="335">
                  <c:v>43206</c:v>
                </c:pt>
                <c:pt idx="336">
                  <c:v>43207</c:v>
                </c:pt>
                <c:pt idx="337">
                  <c:v>43208</c:v>
                </c:pt>
                <c:pt idx="338">
                  <c:v>43209</c:v>
                </c:pt>
                <c:pt idx="339">
                  <c:v>43210</c:v>
                </c:pt>
                <c:pt idx="340">
                  <c:v>43213</c:v>
                </c:pt>
                <c:pt idx="341">
                  <c:v>43214</c:v>
                </c:pt>
                <c:pt idx="342">
                  <c:v>43215</c:v>
                </c:pt>
                <c:pt idx="343">
                  <c:v>43216</c:v>
                </c:pt>
                <c:pt idx="344">
                  <c:v>43217</c:v>
                </c:pt>
                <c:pt idx="345">
                  <c:v>43220</c:v>
                </c:pt>
                <c:pt idx="346">
                  <c:v>43221</c:v>
                </c:pt>
                <c:pt idx="347">
                  <c:v>43222</c:v>
                </c:pt>
                <c:pt idx="348">
                  <c:v>43223</c:v>
                </c:pt>
                <c:pt idx="349">
                  <c:v>43224</c:v>
                </c:pt>
                <c:pt idx="350">
                  <c:v>43227</c:v>
                </c:pt>
                <c:pt idx="351">
                  <c:v>43228</c:v>
                </c:pt>
                <c:pt idx="352">
                  <c:v>43229</c:v>
                </c:pt>
                <c:pt idx="353">
                  <c:v>43230</c:v>
                </c:pt>
                <c:pt idx="354">
                  <c:v>43231</c:v>
                </c:pt>
                <c:pt idx="355">
                  <c:v>43234</c:v>
                </c:pt>
                <c:pt idx="356">
                  <c:v>43235</c:v>
                </c:pt>
                <c:pt idx="357">
                  <c:v>43236</c:v>
                </c:pt>
                <c:pt idx="358">
                  <c:v>43237</c:v>
                </c:pt>
                <c:pt idx="359">
                  <c:v>43238</c:v>
                </c:pt>
                <c:pt idx="360">
                  <c:v>43241</c:v>
                </c:pt>
                <c:pt idx="361">
                  <c:v>43242</c:v>
                </c:pt>
                <c:pt idx="362">
                  <c:v>43243</c:v>
                </c:pt>
                <c:pt idx="363">
                  <c:v>43244</c:v>
                </c:pt>
                <c:pt idx="364">
                  <c:v>43245</c:v>
                </c:pt>
                <c:pt idx="365">
                  <c:v>43248</c:v>
                </c:pt>
                <c:pt idx="366">
                  <c:v>43249</c:v>
                </c:pt>
              </c:numCache>
            </c:numRef>
          </c:cat>
          <c:val>
            <c:numRef>
              <c:f>Data!$B$265:$B$631</c:f>
              <c:numCache>
                <c:formatCode>#,##0</c:formatCode>
                <c:ptCount val="367"/>
                <c:pt idx="0">
                  <c:v>354814</c:v>
                </c:pt>
                <c:pt idx="1">
                  <c:v>361866.86</c:v>
                </c:pt>
                <c:pt idx="2">
                  <c:v>363519.32</c:v>
                </c:pt>
                <c:pt idx="3">
                  <c:v>361866.66</c:v>
                </c:pt>
                <c:pt idx="4">
                  <c:v>363519</c:v>
                </c:pt>
                <c:pt idx="5">
                  <c:v>363543.47</c:v>
                </c:pt>
                <c:pt idx="6">
                  <c:v>328707.83</c:v>
                </c:pt>
                <c:pt idx="7">
                  <c:v>328708</c:v>
                </c:pt>
                <c:pt idx="8">
                  <c:v>321086.01</c:v>
                </c:pt>
                <c:pt idx="9">
                  <c:v>334097.28000000003</c:v>
                </c:pt>
                <c:pt idx="10">
                  <c:v>334097</c:v>
                </c:pt>
                <c:pt idx="11">
                  <c:v>268850.96000000002</c:v>
                </c:pt>
                <c:pt idx="12">
                  <c:v>268851</c:v>
                </c:pt>
                <c:pt idx="13">
                  <c:v>269075.21000000002</c:v>
                </c:pt>
                <c:pt idx="14">
                  <c:v>270983.21000000002</c:v>
                </c:pt>
                <c:pt idx="15">
                  <c:v>270983</c:v>
                </c:pt>
                <c:pt idx="16">
                  <c:v>270723.98</c:v>
                </c:pt>
                <c:pt idx="17">
                  <c:v>281353.09999999998</c:v>
                </c:pt>
                <c:pt idx="18">
                  <c:v>274313.84999999998</c:v>
                </c:pt>
                <c:pt idx="19">
                  <c:v>296447.59999999998</c:v>
                </c:pt>
                <c:pt idx="20">
                  <c:v>295107.96000000002</c:v>
                </c:pt>
                <c:pt idx="21">
                  <c:v>314030.53000000003</c:v>
                </c:pt>
                <c:pt idx="22">
                  <c:v>314031</c:v>
                </c:pt>
                <c:pt idx="23">
                  <c:v>312808.53999999998</c:v>
                </c:pt>
                <c:pt idx="24">
                  <c:v>316461.53999999998</c:v>
                </c:pt>
                <c:pt idx="25">
                  <c:v>316462</c:v>
                </c:pt>
                <c:pt idx="26">
                  <c:v>289560.21999999997</c:v>
                </c:pt>
                <c:pt idx="27">
                  <c:v>297310.21999999997</c:v>
                </c:pt>
                <c:pt idx="28">
                  <c:v>352433.91</c:v>
                </c:pt>
                <c:pt idx="29">
                  <c:v>352434</c:v>
                </c:pt>
                <c:pt idx="30">
                  <c:v>352434</c:v>
                </c:pt>
                <c:pt idx="31">
                  <c:v>352434</c:v>
                </c:pt>
                <c:pt idx="32">
                  <c:v>352542.46</c:v>
                </c:pt>
                <c:pt idx="33">
                  <c:v>383231.99</c:v>
                </c:pt>
                <c:pt idx="34">
                  <c:v>404679.36</c:v>
                </c:pt>
                <c:pt idx="35">
                  <c:v>404679</c:v>
                </c:pt>
                <c:pt idx="36">
                  <c:v>368703.72</c:v>
                </c:pt>
                <c:pt idx="37">
                  <c:v>368203.72</c:v>
                </c:pt>
                <c:pt idx="38">
                  <c:v>349211.92</c:v>
                </c:pt>
                <c:pt idx="39">
                  <c:v>384176.45</c:v>
                </c:pt>
                <c:pt idx="40">
                  <c:v>384176</c:v>
                </c:pt>
                <c:pt idx="41">
                  <c:v>384176</c:v>
                </c:pt>
                <c:pt idx="42">
                  <c:v>384176</c:v>
                </c:pt>
                <c:pt idx="43">
                  <c:v>395396.43</c:v>
                </c:pt>
                <c:pt idx="44">
                  <c:v>395396</c:v>
                </c:pt>
                <c:pt idx="45">
                  <c:v>395396</c:v>
                </c:pt>
                <c:pt idx="46">
                  <c:v>361856.47</c:v>
                </c:pt>
                <c:pt idx="47">
                  <c:v>361856</c:v>
                </c:pt>
                <c:pt idx="48">
                  <c:v>349877.16</c:v>
                </c:pt>
                <c:pt idx="49">
                  <c:v>359297.81</c:v>
                </c:pt>
                <c:pt idx="50">
                  <c:v>361678.91</c:v>
                </c:pt>
                <c:pt idx="51">
                  <c:v>361679</c:v>
                </c:pt>
                <c:pt idx="52">
                  <c:v>370843.37</c:v>
                </c:pt>
                <c:pt idx="53">
                  <c:v>377566.07</c:v>
                </c:pt>
                <c:pt idx="54">
                  <c:v>370373.97</c:v>
                </c:pt>
                <c:pt idx="55">
                  <c:v>338340.3</c:v>
                </c:pt>
                <c:pt idx="56">
                  <c:v>338340</c:v>
                </c:pt>
                <c:pt idx="57">
                  <c:v>338340</c:v>
                </c:pt>
                <c:pt idx="58">
                  <c:v>348438.37</c:v>
                </c:pt>
                <c:pt idx="59">
                  <c:v>348438</c:v>
                </c:pt>
                <c:pt idx="60">
                  <c:v>348360.51</c:v>
                </c:pt>
                <c:pt idx="61" formatCode="#,##0_);[Red]\(#,##0\)">
                  <c:v>348440.48</c:v>
                </c:pt>
                <c:pt idx="62" formatCode="#,##0_);[Red]\(#,##0\)">
                  <c:v>348440</c:v>
                </c:pt>
                <c:pt idx="63" formatCode="#,##0_);[Red]\(#,##0\)">
                  <c:v>350305.92</c:v>
                </c:pt>
                <c:pt idx="64" formatCode="#,##0_);[Red]\(#,##0\)">
                  <c:v>350306</c:v>
                </c:pt>
                <c:pt idx="65" formatCode="#,##0_);[Red]\(#,##0\)">
                  <c:v>350306</c:v>
                </c:pt>
                <c:pt idx="66" formatCode="#,##0_);[Red]\(#,##0\)">
                  <c:v>320389.65000000002</c:v>
                </c:pt>
                <c:pt idx="67" formatCode="#,##0_);[Red]\(#,##0\)">
                  <c:v>320390</c:v>
                </c:pt>
                <c:pt idx="68" formatCode="#,##0_);[Red]\(#,##0\)">
                  <c:v>313344</c:v>
                </c:pt>
                <c:pt idx="69" formatCode="#,##0_);[Red]\(#,##0\)">
                  <c:v>313344</c:v>
                </c:pt>
                <c:pt idx="70" formatCode="#,##0_);[Red]\(#,##0\)">
                  <c:v>306132.78000000003</c:v>
                </c:pt>
                <c:pt idx="71" formatCode="#,##0_);[Red]\(#,##0\)">
                  <c:v>286047.34999999998</c:v>
                </c:pt>
                <c:pt idx="72" formatCode="#,##0_);[Red]\(#,##0\)">
                  <c:v>286047</c:v>
                </c:pt>
                <c:pt idx="73" formatCode="#,##0_);[Red]\(#,##0\)">
                  <c:v>272128.99</c:v>
                </c:pt>
                <c:pt idx="74" formatCode="#,##0_);[Red]\(#,##0\)">
                  <c:v>272229.71000000002</c:v>
                </c:pt>
                <c:pt idx="75" formatCode="#,##0_);[Red]\(#,##0\)">
                  <c:v>236683.56</c:v>
                </c:pt>
                <c:pt idx="76" formatCode="#,##0_);[Red]\(#,##0\)">
                  <c:v>244114.64</c:v>
                </c:pt>
                <c:pt idx="77" formatCode="#,##0_);[Red]\(#,##0\)">
                  <c:v>244115</c:v>
                </c:pt>
                <c:pt idx="78" formatCode="#,##0_);[Red]\(#,##0\)">
                  <c:v>241798.76</c:v>
                </c:pt>
                <c:pt idx="79" formatCode="#,##0_);[Red]\(#,##0\)">
                  <c:v>241799</c:v>
                </c:pt>
                <c:pt idx="80" formatCode="#,##0_);[Red]\(#,##0\)">
                  <c:v>241973.76000000001</c:v>
                </c:pt>
                <c:pt idx="81" formatCode="#,##0_);[Red]\(#,##0\)">
                  <c:v>243364.2</c:v>
                </c:pt>
                <c:pt idx="82" formatCode="#,##0_);[Red]\(#,##0\)">
                  <c:v>243364</c:v>
                </c:pt>
                <c:pt idx="83" formatCode="#,##0_);[Red]\(#,##0\)">
                  <c:v>259265.45</c:v>
                </c:pt>
                <c:pt idx="84" formatCode="#,##0_);[Red]\(#,##0\)">
                  <c:v>290731.18</c:v>
                </c:pt>
                <c:pt idx="85" formatCode="#,##0_);[Red]\(#,##0\)">
                  <c:v>251486.17</c:v>
                </c:pt>
                <c:pt idx="86" formatCode="#,##0_);[Red]\(#,##0\)">
                  <c:v>253188.17</c:v>
                </c:pt>
                <c:pt idx="87" formatCode="#,##0_);[Red]\(#,##0\)">
                  <c:v>253188</c:v>
                </c:pt>
                <c:pt idx="88" formatCode="#,##0_);[Red]\(#,##0\)">
                  <c:v>232739.33</c:v>
                </c:pt>
                <c:pt idx="89" formatCode="#,##0_);[Red]\(#,##0\)">
                  <c:v>234049.33</c:v>
                </c:pt>
                <c:pt idx="90" formatCode="#,##0_);[Red]\(#,##0\)">
                  <c:v>314317.77</c:v>
                </c:pt>
                <c:pt idx="91" formatCode="#,##0_);[Red]\(#,##0\)">
                  <c:v>314318</c:v>
                </c:pt>
                <c:pt idx="92" formatCode="#,##0_);[Red]\(#,##0\)">
                  <c:v>314318</c:v>
                </c:pt>
                <c:pt idx="93" formatCode="#,##0_);[Red]\(#,##0\)">
                  <c:v>313971.28000000003</c:v>
                </c:pt>
                <c:pt idx="94" formatCode="#,##0_);[Red]\(#,##0\)">
                  <c:v>313971</c:v>
                </c:pt>
                <c:pt idx="95" formatCode="#,##0_);[Red]\(#,##0\)">
                  <c:v>271063.69</c:v>
                </c:pt>
                <c:pt idx="96" formatCode="#,##0_);[Red]\(#,##0\)">
                  <c:v>271064</c:v>
                </c:pt>
                <c:pt idx="97" formatCode="#,##0_);[Red]\(#,##0\)">
                  <c:v>271064</c:v>
                </c:pt>
                <c:pt idx="98" formatCode="#,##0_);[Red]\(#,##0\)">
                  <c:v>261497.73</c:v>
                </c:pt>
                <c:pt idx="99" formatCode="#,##0_);[Red]\(#,##0\)">
                  <c:v>311507.92</c:v>
                </c:pt>
                <c:pt idx="100" formatCode="#,##0_);[Red]\(#,##0\)">
                  <c:v>290080.52</c:v>
                </c:pt>
                <c:pt idx="101" formatCode="#,##0_);[Red]\(#,##0\)">
                  <c:v>290081</c:v>
                </c:pt>
                <c:pt idx="102" formatCode="#,##0_);[Red]\(#,##0\)">
                  <c:v>327080.46000000002</c:v>
                </c:pt>
                <c:pt idx="103" formatCode="#,##0_);[Red]\(#,##0\)">
                  <c:v>327080</c:v>
                </c:pt>
                <c:pt idx="104" formatCode="#,##0_);[Red]\(#,##0\)">
                  <c:v>336844.12</c:v>
                </c:pt>
                <c:pt idx="105" formatCode="#,##0_);[Red]\(#,##0\)">
                  <c:v>336844</c:v>
                </c:pt>
                <c:pt idx="106" formatCode="#,##0_);[Red]\(#,##0\)">
                  <c:v>300553.48</c:v>
                </c:pt>
                <c:pt idx="107" formatCode="#,##0_);[Red]\(#,##0\)">
                  <c:v>296887.5</c:v>
                </c:pt>
                <c:pt idx="108" formatCode="#,##0_);[Red]\(#,##0\)">
                  <c:v>297355.68</c:v>
                </c:pt>
                <c:pt idx="109" formatCode="#,##0_);[Red]\(#,##0\)">
                  <c:v>298760.68</c:v>
                </c:pt>
                <c:pt idx="110" formatCode="#,##0_);[Red]\(#,##0\)">
                  <c:v>279006.82</c:v>
                </c:pt>
                <c:pt idx="111" formatCode="#,##0_);[Red]\(#,##0\)">
                  <c:v>279007</c:v>
                </c:pt>
                <c:pt idx="112" formatCode="#,##0_);[Red]\(#,##0\)">
                  <c:v>279007</c:v>
                </c:pt>
                <c:pt idx="113" formatCode="#,##0_);[Red]\(#,##0\)">
                  <c:v>279112.07</c:v>
                </c:pt>
                <c:pt idx="114" formatCode="#,##0_);[Red]\(#,##0\)">
                  <c:v>279112</c:v>
                </c:pt>
                <c:pt idx="115" formatCode="#,##0_);[Red]\(#,##0\)">
                  <c:v>244072.02</c:v>
                </c:pt>
                <c:pt idx="116" formatCode="#,##0_);[Red]\(#,##0\)">
                  <c:v>249325.41</c:v>
                </c:pt>
                <c:pt idx="117" formatCode="#,##0_);[Red]\(#,##0\)">
                  <c:v>249325</c:v>
                </c:pt>
                <c:pt idx="118" formatCode="#,##0_);[Red]\(#,##0\)">
                  <c:v>252874.48</c:v>
                </c:pt>
                <c:pt idx="119" formatCode="#,##0_);[Red]\(#,##0\)">
                  <c:v>253128.65</c:v>
                </c:pt>
                <c:pt idx="120" formatCode="#,##0_);[Red]\(#,##0\)">
                  <c:v>255098.96</c:v>
                </c:pt>
                <c:pt idx="121" formatCode="#,##0_);[Red]\(#,##0\)">
                  <c:v>253521.42</c:v>
                </c:pt>
                <c:pt idx="122" formatCode="#,##0_);[Red]\(#,##0\)">
                  <c:v>253521</c:v>
                </c:pt>
                <c:pt idx="123" formatCode="#,##0_);[Red]\(#,##0\)">
                  <c:v>235912.36</c:v>
                </c:pt>
                <c:pt idx="124" formatCode="#,##0_);[Red]\(#,##0\)">
                  <c:v>235912</c:v>
                </c:pt>
                <c:pt idx="125" formatCode="#,##0_);[Red]\(#,##0\)">
                  <c:v>198879.76</c:v>
                </c:pt>
                <c:pt idx="126" formatCode="#,##0_);[Red]\(#,##0\)">
                  <c:v>199009.76</c:v>
                </c:pt>
                <c:pt idx="127" formatCode="#,##0_);[Red]\(#,##0\)">
                  <c:v>199010</c:v>
                </c:pt>
                <c:pt idx="128" formatCode="#,##0_);[Red]\(#,##0\)">
                  <c:v>210354</c:v>
                </c:pt>
                <c:pt idx="129" formatCode="#,##0_);[Red]\(#,##0\)">
                  <c:v>260779.62</c:v>
                </c:pt>
                <c:pt idx="130" formatCode="#,##0_);[Red]\(#,##0\)">
                  <c:v>260780</c:v>
                </c:pt>
                <c:pt idx="131" formatCode="#,##0_);[Red]\(#,##0\)">
                  <c:v>260780</c:v>
                </c:pt>
                <c:pt idx="132" formatCode="#,##0_);[Red]\(#,##0\)">
                  <c:v>260780</c:v>
                </c:pt>
                <c:pt idx="133" formatCode="#,##0_);[Red]\(#,##0\)">
                  <c:v>261774.11</c:v>
                </c:pt>
                <c:pt idx="134" formatCode="#,##0_);[Red]\(#,##0\)">
                  <c:v>261774</c:v>
                </c:pt>
                <c:pt idx="135" formatCode="#,##0_);[Red]\(#,##0\)">
                  <c:v>226950.89</c:v>
                </c:pt>
                <c:pt idx="136" formatCode="#,##0_);[Red]\(#,##0\)">
                  <c:v>226951</c:v>
                </c:pt>
                <c:pt idx="137" formatCode="#,##0_);[Red]\(#,##0\)">
                  <c:v>248711.94</c:v>
                </c:pt>
                <c:pt idx="138" formatCode="#,##0_);[Red]\(#,##0\)">
                  <c:v>256201.58</c:v>
                </c:pt>
                <c:pt idx="139" formatCode="#,##0_);[Red]\(#,##0\)">
                  <c:v>256272.97</c:v>
                </c:pt>
                <c:pt idx="140" formatCode="#,##0_);[Red]\(#,##0\)">
                  <c:v>256056.42</c:v>
                </c:pt>
                <c:pt idx="141" formatCode="#,##0_);[Red]\(#,##0\)">
                  <c:v>257213.96</c:v>
                </c:pt>
                <c:pt idx="142" formatCode="#,##0_);[Red]\(#,##0\)">
                  <c:v>257214</c:v>
                </c:pt>
                <c:pt idx="143" formatCode="#,##0_);[Red]\(#,##0\)">
                  <c:v>260075.5</c:v>
                </c:pt>
                <c:pt idx="144" formatCode="#,##0_);[Red]\(#,##0\)">
                  <c:v>339825.5</c:v>
                </c:pt>
                <c:pt idx="145" formatCode="#,##0_);[Red]\(#,##0\)">
                  <c:v>303182.65000000002</c:v>
                </c:pt>
                <c:pt idx="146" formatCode="#,##0_);[Red]\(#,##0\)">
                  <c:v>322340.12</c:v>
                </c:pt>
                <c:pt idx="147" formatCode="#,##0_);[Red]\(#,##0\)">
                  <c:v>322340</c:v>
                </c:pt>
                <c:pt idx="148" formatCode="#,##0_);[Red]\(#,##0\)">
                  <c:v>308772.78999999998</c:v>
                </c:pt>
                <c:pt idx="149" formatCode="#,##0_);[Red]\(#,##0\)">
                  <c:v>317343.40999999997</c:v>
                </c:pt>
                <c:pt idx="150" formatCode="#,##0_);[Red]\(#,##0\)">
                  <c:v>317343</c:v>
                </c:pt>
                <c:pt idx="151" formatCode="#,##0_);[Red]\(#,##0\)">
                  <c:v>369152.35</c:v>
                </c:pt>
                <c:pt idx="152" formatCode="#,##0_);[Red]\(#,##0\)">
                  <c:v>371061.94</c:v>
                </c:pt>
                <c:pt idx="153" formatCode="#,##0_);[Red]\(#,##0\)">
                  <c:v>372080.87</c:v>
                </c:pt>
                <c:pt idx="154" formatCode="#,##0_);[Red]\(#,##0\)">
                  <c:v>372080.87</c:v>
                </c:pt>
                <c:pt idx="155" formatCode="#,##0_);[Red]\(#,##0\)">
                  <c:v>336189.47</c:v>
                </c:pt>
                <c:pt idx="156" formatCode="#,##0_);[Red]\(#,##0\)">
                  <c:v>340998.07</c:v>
                </c:pt>
                <c:pt idx="157" formatCode="#,##0_);[Red]\(#,##0\)">
                  <c:v>332763.65000000002</c:v>
                </c:pt>
                <c:pt idx="158" formatCode="#,##0_);[Red]\(#,##0\)">
                  <c:v>375651.45</c:v>
                </c:pt>
                <c:pt idx="159" formatCode="#,##0_);[Red]\(#,##0\)">
                  <c:v>378293.21</c:v>
                </c:pt>
                <c:pt idx="160" formatCode="#,##0_);[Red]\(#,##0\)">
                  <c:v>378293</c:v>
                </c:pt>
                <c:pt idx="161" formatCode="#,##0_);[Red]\(#,##0\)">
                  <c:v>401190.06</c:v>
                </c:pt>
                <c:pt idx="162" formatCode="#,##0_);[Red]\(#,##0\)">
                  <c:v>401190</c:v>
                </c:pt>
                <c:pt idx="163" formatCode="#,##0_);[Red]\(#,##0\)">
                  <c:v>401569.72</c:v>
                </c:pt>
                <c:pt idx="164" formatCode="#,##0_);[Red]\(#,##0\)">
                  <c:v>403837.72</c:v>
                </c:pt>
                <c:pt idx="165" formatCode="#,##0_);[Red]\(#,##0\)">
                  <c:v>369495.17</c:v>
                </c:pt>
                <c:pt idx="166" formatCode="#,##0_);[Red]\(#,##0\)">
                  <c:v>379169.06</c:v>
                </c:pt>
                <c:pt idx="167" formatCode="#,##0_);[Red]\(#,##0\)">
                  <c:v>379169</c:v>
                </c:pt>
                <c:pt idx="168" formatCode="#,##0_);[Red]\(#,##0\)">
                  <c:v>372540.41</c:v>
                </c:pt>
                <c:pt idx="169" formatCode="#,##0_);[Red]\(#,##0\)">
                  <c:v>372540</c:v>
                </c:pt>
                <c:pt idx="170" formatCode="#,##0_);[Red]\(#,##0\)">
                  <c:v>372540</c:v>
                </c:pt>
                <c:pt idx="171" formatCode="#,##0_);[Red]\(#,##0\)">
                  <c:v>374625.25</c:v>
                </c:pt>
                <c:pt idx="172" formatCode="#,##0_);[Red]\(#,##0\)">
                  <c:v>382658.46</c:v>
                </c:pt>
                <c:pt idx="173" formatCode="#,##0_);[Red]\(#,##0\)">
                  <c:v>389160.26</c:v>
                </c:pt>
                <c:pt idx="174" formatCode="#,##0_);[Red]\(#,##0\)">
                  <c:v>389160</c:v>
                </c:pt>
                <c:pt idx="175" formatCode="#,##0_);[Red]\(#,##0\)">
                  <c:v>389160</c:v>
                </c:pt>
                <c:pt idx="176" formatCode="#,##0_);[Red]\(#,##0\)">
                  <c:v>352908.42</c:v>
                </c:pt>
                <c:pt idx="177" formatCode="#,##0_);[Red]\(#,##0\)">
                  <c:v>383959.41</c:v>
                </c:pt>
                <c:pt idx="178" formatCode="#,##0_);[Red]\(#,##0\)">
                  <c:v>403148.81</c:v>
                </c:pt>
                <c:pt idx="179" formatCode="#,##0_);[Red]\(#,##0\)">
                  <c:v>403344.11</c:v>
                </c:pt>
                <c:pt idx="180" formatCode="#,##0_);[Red]\(#,##0\)">
                  <c:v>403344</c:v>
                </c:pt>
                <c:pt idx="181" formatCode="#,##0_);[Red]\(#,##0\)">
                  <c:v>403344</c:v>
                </c:pt>
                <c:pt idx="182" formatCode="#,##0_);[Red]\(#,##0\)">
                  <c:v>403344</c:v>
                </c:pt>
                <c:pt idx="183" formatCode="#,##0_);[Red]\(#,##0\)">
                  <c:v>400016.8</c:v>
                </c:pt>
                <c:pt idx="184" formatCode="#,##0_);[Red]\(#,##0\)">
                  <c:v>400134.96</c:v>
                </c:pt>
                <c:pt idx="185" formatCode="#,##0_);[Red]\(#,##0\)">
                  <c:v>364805.11</c:v>
                </c:pt>
                <c:pt idx="186" formatCode="#,##0_);[Red]\(#,##0\)">
                  <c:v>364805</c:v>
                </c:pt>
                <c:pt idx="187" formatCode="#,##0_);[Red]\(#,##0\)">
                  <c:v>371804.33</c:v>
                </c:pt>
                <c:pt idx="188" formatCode="#,##0_);[Red]\(#,##0\)">
                  <c:v>370759.85</c:v>
                </c:pt>
                <c:pt idx="189" formatCode="#,##0_);[Red]\(#,##0\)">
                  <c:v>389878.66</c:v>
                </c:pt>
                <c:pt idx="190" formatCode="#,##0_);[Red]\(#,##0\)">
                  <c:v>393013.02</c:v>
                </c:pt>
                <c:pt idx="191" formatCode="#,##0_);[Red]\(#,##0\)">
                  <c:v>393593.22</c:v>
                </c:pt>
                <c:pt idx="192" formatCode="#,##0_);[Red]\(#,##0\)">
                  <c:v>393593</c:v>
                </c:pt>
                <c:pt idx="193" formatCode="#,##0_);[Red]\(#,##0\)">
                  <c:v>385433.95</c:v>
                </c:pt>
                <c:pt idx="194" formatCode="#,##0_);[Red]\(#,##0\)">
                  <c:v>385678.15</c:v>
                </c:pt>
                <c:pt idx="195" formatCode="#,##0_);[Red]\(#,##0\)">
                  <c:v>350949.28</c:v>
                </c:pt>
                <c:pt idx="196" formatCode="#,##0_);[Red]\(#,##0\)">
                  <c:v>352010.98</c:v>
                </c:pt>
                <c:pt idx="197" formatCode="#,##0_);[Red]\(#,##0\)">
                  <c:v>352011</c:v>
                </c:pt>
                <c:pt idx="198" formatCode="#,##0_);[Red]\(#,##0\)">
                  <c:v>348679</c:v>
                </c:pt>
                <c:pt idx="199" formatCode="#,##0_);[Red]\(#,##0\)">
                  <c:v>348679</c:v>
                </c:pt>
                <c:pt idx="200" formatCode="#,##0_);[Red]\(#,##0\)">
                  <c:v>348679</c:v>
                </c:pt>
                <c:pt idx="201" formatCode="#,##0_);[Red]\(#,##0\)">
                  <c:v>348679</c:v>
                </c:pt>
                <c:pt idx="202" formatCode="#,##0_);[Red]\(#,##0\)">
                  <c:v>348761.24</c:v>
                </c:pt>
                <c:pt idx="203" formatCode="#,##0_);[Red]\(#,##0\)">
                  <c:v>349998.26</c:v>
                </c:pt>
                <c:pt idx="204" formatCode="#,##0_);[Red]\(#,##0\)">
                  <c:v>370561.14</c:v>
                </c:pt>
                <c:pt idx="205" formatCode="#,##0_);[Red]\(#,##0\)">
                  <c:v>336220.14</c:v>
                </c:pt>
                <c:pt idx="206" formatCode="#,##0_);[Red]\(#,##0\)">
                  <c:v>336332.14</c:v>
                </c:pt>
                <c:pt idx="207" formatCode="#,##0_);[Red]\(#,##0\)">
                  <c:v>336332</c:v>
                </c:pt>
                <c:pt idx="208" formatCode="#,##0_);[Red]\(#,##0\)">
                  <c:v>339185.02</c:v>
                </c:pt>
                <c:pt idx="209" formatCode="#,##0_);[Red]\(#,##0\)">
                  <c:v>344936.35</c:v>
                </c:pt>
                <c:pt idx="210" formatCode="#,##0_);[Red]\(#,##0\)">
                  <c:v>344564.68</c:v>
                </c:pt>
                <c:pt idx="211" formatCode="#,##0_);[Red]\(#,##0\)">
                  <c:v>344565</c:v>
                </c:pt>
                <c:pt idx="212" formatCode="#,##0_);[Red]\(#,##0\)">
                  <c:v>344829.18</c:v>
                </c:pt>
                <c:pt idx="213" formatCode="#,##0_);[Red]\(#,##0\)">
                  <c:v>339942.05</c:v>
                </c:pt>
                <c:pt idx="214" formatCode="#,##0_);[Red]\(#,##0\)">
                  <c:v>360185.72</c:v>
                </c:pt>
                <c:pt idx="215" formatCode="#,##0_);[Red]\(#,##0\)">
                  <c:v>323067.73</c:v>
                </c:pt>
                <c:pt idx="216" formatCode="#,##0_);[Red]\(#,##0\)">
                  <c:v>323197.73</c:v>
                </c:pt>
                <c:pt idx="217" formatCode="#,##0_);[Red]\(#,##0\)">
                  <c:v>323198</c:v>
                </c:pt>
                <c:pt idx="218" formatCode="#,##0_);[Red]\(#,##0\)">
                  <c:v>341044.7</c:v>
                </c:pt>
                <c:pt idx="219" formatCode="#,##0_);[Red]\(#,##0\)">
                  <c:v>341676.17</c:v>
                </c:pt>
                <c:pt idx="220" formatCode="#,##0_);[Red]\(#,##0\)">
                  <c:v>341676</c:v>
                </c:pt>
                <c:pt idx="221" formatCode="#,##0_);[Red]\(#,##0\)">
                  <c:v>341676</c:v>
                </c:pt>
                <c:pt idx="222" formatCode="#,##0_);[Red]\(#,##0\)">
                  <c:v>379863.97</c:v>
                </c:pt>
                <c:pt idx="223" formatCode="#,##0_);[Red]\(#,##0\)">
                  <c:v>378842.06</c:v>
                </c:pt>
                <c:pt idx="224" formatCode="#,##0_);[Red]\(#,##0\)">
                  <c:v>378842</c:v>
                </c:pt>
                <c:pt idx="225" formatCode="#,##0_);[Red]\(#,##0\)">
                  <c:v>340784.14</c:v>
                </c:pt>
                <c:pt idx="226" formatCode="#,##0_);[Red]\(#,##0\)">
                  <c:v>340784</c:v>
                </c:pt>
                <c:pt idx="227" formatCode="#,##0_);[Red]\(#,##0\)">
                  <c:v>340895.76</c:v>
                </c:pt>
                <c:pt idx="228" formatCode="#,##0_);[Red]\(#,##0\)">
                  <c:v>354246.44</c:v>
                </c:pt>
                <c:pt idx="229" formatCode="#,##0_);[Red]\(#,##0\)">
                  <c:v>354246.44</c:v>
                </c:pt>
                <c:pt idx="230" formatCode="#,##0_);[Red]\(#,##0\)">
                  <c:v>354264.44</c:v>
                </c:pt>
                <c:pt idx="231" formatCode="#,##0_);[Red]\(#,##0\)">
                  <c:v>354264</c:v>
                </c:pt>
                <c:pt idx="232" formatCode="#,##0_);[Red]\(#,##0\)">
                  <c:v>357804.55</c:v>
                </c:pt>
                <c:pt idx="233" formatCode="#,##0_);[Red]\(#,##0\)">
                  <c:v>357805</c:v>
                </c:pt>
                <c:pt idx="234" formatCode="#,##0_);[Red]\(#,##0\)">
                  <c:v>361119.05</c:v>
                </c:pt>
                <c:pt idx="235" formatCode="#,##0_);[Red]\(#,##0\)">
                  <c:v>318415.71000000002</c:v>
                </c:pt>
                <c:pt idx="236" formatCode="#,##0_);[Red]\(#,##0\)">
                  <c:v>320237.53999999998</c:v>
                </c:pt>
                <c:pt idx="237" formatCode="#,##0_);[Red]\(#,##0\)">
                  <c:v>320237.53999999998</c:v>
                </c:pt>
                <c:pt idx="238" formatCode="#,##0_);[Red]\(#,##0\)">
                  <c:v>325286.46999999997</c:v>
                </c:pt>
                <c:pt idx="239" formatCode="#,##0_);[Red]\(#,##0\)">
                  <c:v>334247.03000000003</c:v>
                </c:pt>
                <c:pt idx="240" formatCode="#,##0_);[Red]\(#,##0\)">
                  <c:v>334247</c:v>
                </c:pt>
                <c:pt idx="241" formatCode="#,##0_);[Red]\(#,##0\)">
                  <c:v>334247.03000000003</c:v>
                </c:pt>
                <c:pt idx="242" formatCode="#,##0_);[Red]\(#,##0\)">
                  <c:v>334247</c:v>
                </c:pt>
                <c:pt idx="243" formatCode="#,##0_);[Red]\(#,##0\)">
                  <c:v>323171.46000000002</c:v>
                </c:pt>
                <c:pt idx="244" formatCode="#,##0_);[Red]\(#,##0\)">
                  <c:v>324229.90999999997</c:v>
                </c:pt>
                <c:pt idx="245" formatCode="#,##0_);[Red]\(#,##0\)">
                  <c:v>324230</c:v>
                </c:pt>
                <c:pt idx="246" formatCode="#,##0_);[Red]\(#,##0\)">
                  <c:v>286030.39</c:v>
                </c:pt>
                <c:pt idx="247" formatCode="#,##0_);[Red]\(#,##0\)">
                  <c:v>286197.44</c:v>
                </c:pt>
                <c:pt idx="248" formatCode="#,##0_);[Red]\(#,##0\)">
                  <c:v>280065.2</c:v>
                </c:pt>
                <c:pt idx="249" formatCode="#,##0_);[Red]\(#,##0\)">
                  <c:v>284409.09999999998</c:v>
                </c:pt>
                <c:pt idx="250" formatCode="#,##0_);[Red]\(#,##0\)">
                  <c:v>285119.09999999998</c:v>
                </c:pt>
                <c:pt idx="251" formatCode="#,##0_);[Red]\(#,##0\)">
                  <c:v>285395.49</c:v>
                </c:pt>
                <c:pt idx="252" formatCode="#,##0_);[Red]\(#,##0\)">
                  <c:v>285395</c:v>
                </c:pt>
                <c:pt idx="253" formatCode="#,##0_);[Red]\(#,##0\)">
                  <c:v>285542.49</c:v>
                </c:pt>
                <c:pt idx="254" formatCode="#,##0_);[Red]\(#,##0\)">
                  <c:v>285542</c:v>
                </c:pt>
                <c:pt idx="255" formatCode="#,##0_);[Red]\(#,##0\)">
                  <c:v>285542</c:v>
                </c:pt>
                <c:pt idx="256" formatCode="#,##0_);[Red]\(#,##0\)">
                  <c:v>248584.72</c:v>
                </c:pt>
                <c:pt idx="257" formatCode="#,##0_);[Red]\(#,##0\)">
                  <c:v>248585</c:v>
                </c:pt>
                <c:pt idx="258" formatCode="#,##0_);[Red]\(#,##0\)">
                  <c:v>270685.83</c:v>
                </c:pt>
                <c:pt idx="259" formatCode="#,##0_);[Red]\(#,##0\)">
                  <c:v>282558.58</c:v>
                </c:pt>
                <c:pt idx="260" formatCode="#,##0_);[Red]\(#,##0\)">
                  <c:v>282559</c:v>
                </c:pt>
                <c:pt idx="261" formatCode="#,##0_);[Red]\(#,##0\)">
                  <c:v>282508.58</c:v>
                </c:pt>
                <c:pt idx="262" formatCode="#,##0_);[Red]\(#,##0\)">
                  <c:v>282509</c:v>
                </c:pt>
                <c:pt idx="263" formatCode="#,##0_);[Red]\(#,##0\)">
                  <c:v>283213.14</c:v>
                </c:pt>
                <c:pt idx="264" formatCode="#,##0_);[Red]\(#,##0\)">
                  <c:v>297779.06</c:v>
                </c:pt>
                <c:pt idx="265" formatCode="#,##0_);[Red]\(#,##0\)">
                  <c:v>263886.2</c:v>
                </c:pt>
                <c:pt idx="266" formatCode="#,##0_);[Red]\(#,##0\)">
                  <c:v>277030.96999999997</c:v>
                </c:pt>
                <c:pt idx="267" formatCode="#,##0_);[Red]\(#,##0\)">
                  <c:v>277031</c:v>
                </c:pt>
                <c:pt idx="268" formatCode="#,##0_);[Red]\(#,##0\)">
                  <c:v>281394.14</c:v>
                </c:pt>
                <c:pt idx="269" formatCode="#,##0_);[Red]\(#,##0\)">
                  <c:v>281470.18</c:v>
                </c:pt>
                <c:pt idx="270" formatCode="#,##0_);[Red]\(#,##0\)">
                  <c:v>281470</c:v>
                </c:pt>
                <c:pt idx="271" formatCode="#,##0_);[Red]\(#,##0\)">
                  <c:v>284325.94</c:v>
                </c:pt>
                <c:pt idx="272" formatCode="#,##0_);[Red]\(#,##0\)">
                  <c:v>305911.78000000003</c:v>
                </c:pt>
                <c:pt idx="273" formatCode="#,##0_);[Red]\(#,##0\)">
                  <c:v>305752.93</c:v>
                </c:pt>
                <c:pt idx="274" formatCode="#,##0_);[Red]\(#,##0\)">
                  <c:v>332730.14</c:v>
                </c:pt>
                <c:pt idx="275" formatCode="#,##0_);[Red]\(#,##0\)">
                  <c:v>291419.49</c:v>
                </c:pt>
                <c:pt idx="276" formatCode="#,##0_);[Red]\(#,##0\)">
                  <c:v>293419.65000000002</c:v>
                </c:pt>
                <c:pt idx="277" formatCode="#,##0_);[Red]\(#,##0\)">
                  <c:v>293420</c:v>
                </c:pt>
                <c:pt idx="278" formatCode="#,##0_);[Red]\(#,##0\)">
                  <c:v>301331.82</c:v>
                </c:pt>
                <c:pt idx="279" formatCode="#,##0_);[Red]\(#,##0\)">
                  <c:v>327084.28999999998</c:v>
                </c:pt>
                <c:pt idx="280" formatCode="#,##0_);[Red]\(#,##0\)">
                  <c:v>327084</c:v>
                </c:pt>
                <c:pt idx="281" formatCode="#,##0_);[Red]\(#,##0\)">
                  <c:v>327084</c:v>
                </c:pt>
                <c:pt idx="282" formatCode="#,##0_);[Red]\(#,##0\)">
                  <c:v>337130.63</c:v>
                </c:pt>
                <c:pt idx="283" formatCode="#,##0_);[Red]\(#,##0\)">
                  <c:v>334292.59999999998</c:v>
                </c:pt>
                <c:pt idx="284" formatCode="#,##0_);[Red]\(#,##0\)">
                  <c:v>335977.23</c:v>
                </c:pt>
                <c:pt idx="285" formatCode="#,##0_);[Red]\(#,##0\)">
                  <c:v>300614.99</c:v>
                </c:pt>
                <c:pt idx="286" formatCode="#,##0_);[Red]\(#,##0\)">
                  <c:v>295509.53999999998</c:v>
                </c:pt>
                <c:pt idx="287" formatCode="#,##0_);[Red]\(#,##0\)">
                  <c:v>295510</c:v>
                </c:pt>
                <c:pt idx="288" formatCode="#,##0_);[Red]\(#,##0\)">
                  <c:v>295623.09999999998</c:v>
                </c:pt>
                <c:pt idx="289" formatCode="#,##0_);[Red]\(#,##0\)">
                  <c:v>295623</c:v>
                </c:pt>
                <c:pt idx="290" formatCode="#,##0_);[Red]\(#,##0\)">
                  <c:v>299232.09999999998</c:v>
                </c:pt>
                <c:pt idx="291" formatCode="#,##0_);[Red]\(#,##0\)">
                  <c:v>304422.01</c:v>
                </c:pt>
                <c:pt idx="292" formatCode="#,##0_);[Red]\(#,##0\)">
                  <c:v>330191.24</c:v>
                </c:pt>
                <c:pt idx="293" formatCode="#,##0_);[Red]\(#,##0\)">
                  <c:v>313471.64</c:v>
                </c:pt>
                <c:pt idx="294" formatCode="#,##0_);[Red]\(#,##0\)">
                  <c:v>313472</c:v>
                </c:pt>
                <c:pt idx="295" formatCode="#,##0_);[Red]\(#,##0\)">
                  <c:v>313472</c:v>
                </c:pt>
                <c:pt idx="296" formatCode="#,##0_);[Red]\(#,##0\)">
                  <c:v>277471.58</c:v>
                </c:pt>
                <c:pt idx="297" formatCode="#,##0_);[Red]\(#,##0\)">
                  <c:v>287526.92</c:v>
                </c:pt>
                <c:pt idx="298" formatCode="#,##0_);[Red]\(#,##0\)">
                  <c:v>296486.64</c:v>
                </c:pt>
                <c:pt idx="299" formatCode="#,##0_);[Red]\(#,##0\)">
                  <c:v>296487</c:v>
                </c:pt>
                <c:pt idx="300" formatCode="#,##0_);[Red]\(#,##0\)">
                  <c:v>296487</c:v>
                </c:pt>
                <c:pt idx="301" formatCode="#,##0_);[Red]\(#,##0\)">
                  <c:v>335911.5</c:v>
                </c:pt>
                <c:pt idx="302" formatCode="#,##0_);[Red]\(#,##0\)">
                  <c:v>335912</c:v>
                </c:pt>
                <c:pt idx="303" formatCode="#,##0_);[Red]\(#,##0\)">
                  <c:v>330042.21999999997</c:v>
                </c:pt>
                <c:pt idx="304" formatCode="#,##0_);[Red]\(#,##0\)">
                  <c:v>367034.5</c:v>
                </c:pt>
                <c:pt idx="305" formatCode="#,##0_);[Red]\(#,##0\)">
                  <c:v>330990.42</c:v>
                </c:pt>
                <c:pt idx="306" formatCode="#,##0_);[Red]\(#,##0\)">
                  <c:v>333065.89</c:v>
                </c:pt>
                <c:pt idx="307" formatCode="#,##0_);[Red]\(#,##0\)">
                  <c:v>331065.89</c:v>
                </c:pt>
                <c:pt idx="308" formatCode="#,##0_);[Red]\(#,##0\)">
                  <c:v>331092.17</c:v>
                </c:pt>
                <c:pt idx="309" formatCode="#,##0_);[Red]\(#,##0\)">
                  <c:v>311733.17</c:v>
                </c:pt>
                <c:pt idx="310" formatCode="#,##0_);[Red]\(#,##0\)">
                  <c:v>317116.19</c:v>
                </c:pt>
                <c:pt idx="311" formatCode="#,##0_);[Red]\(#,##0\)">
                  <c:v>317116</c:v>
                </c:pt>
                <c:pt idx="312" formatCode="#,##0_);[Red]\(#,##0\)">
                  <c:v>317496.19</c:v>
                </c:pt>
                <c:pt idx="313" formatCode="#,##0_);[Red]\(#,##0\)">
                  <c:v>317772.45</c:v>
                </c:pt>
                <c:pt idx="314" formatCode="#,##0_);[Red]\(#,##0\)">
                  <c:v>317772</c:v>
                </c:pt>
                <c:pt idx="315" formatCode="#,##0_);[Red]\(#,##0\)">
                  <c:v>279446.55</c:v>
                </c:pt>
                <c:pt idx="316" formatCode="#,##0_);[Red]\(#,##0\)">
                  <c:v>272785.62</c:v>
                </c:pt>
                <c:pt idx="317" formatCode="#,##0_);[Red]\(#,##0\)">
                  <c:v>288240.15999999997</c:v>
                </c:pt>
                <c:pt idx="318" formatCode="#,##0_);[Red]\(#,##0\)">
                  <c:v>278742.74</c:v>
                </c:pt>
                <c:pt idx="319" formatCode="#,##0_);[Red]\(#,##0\)">
                  <c:v>278840.24</c:v>
                </c:pt>
                <c:pt idx="320" formatCode="#,##0_);[Red]\(#,##0\)">
                  <c:v>278942.24</c:v>
                </c:pt>
                <c:pt idx="321" formatCode="#,##0_);[Red]\(#,##0\)">
                  <c:v>257048.49</c:v>
                </c:pt>
                <c:pt idx="322" formatCode="#,##0_);[Red]\(#,##0\)">
                  <c:v>252662.47</c:v>
                </c:pt>
                <c:pt idx="323" formatCode="#,##0_);[Red]\(#,##0\)">
                  <c:v>254708.73</c:v>
                </c:pt>
                <c:pt idx="324" formatCode="#,##0_);[Red]\(#,##0\)">
                  <c:v>281702.86</c:v>
                </c:pt>
                <c:pt idx="325" formatCode="#,##0_);[Red]\(#,##0\)">
                  <c:v>244220.77</c:v>
                </c:pt>
                <c:pt idx="326" formatCode="#,##0_);[Red]\(#,##0\)">
                  <c:v>244221</c:v>
                </c:pt>
                <c:pt idx="327" formatCode="#,##0_);[Red]\(#,##0\)">
                  <c:v>244221</c:v>
                </c:pt>
                <c:pt idx="328" formatCode="#,##0_);[Red]\(#,##0\)">
                  <c:v>225503.87</c:v>
                </c:pt>
                <c:pt idx="329" formatCode="#,##0_);[Red]\(#,##0\)">
                  <c:v>225504</c:v>
                </c:pt>
                <c:pt idx="330" formatCode="#,##0_);[Red]\(#,##0\)">
                  <c:v>225503.8</c:v>
                </c:pt>
                <c:pt idx="331" formatCode="#,##0_);[Red]\(#,##0\)">
                  <c:v>227389.96</c:v>
                </c:pt>
                <c:pt idx="332" formatCode="#,##0_);[Red]\(#,##0\)">
                  <c:v>235472.53</c:v>
                </c:pt>
                <c:pt idx="333" formatCode="#,##0_);[Red]\(#,##0\)">
                  <c:v>222207.84</c:v>
                </c:pt>
                <c:pt idx="334" formatCode="#,##0_);[Red]\(#,##0\)">
                  <c:v>222287.93</c:v>
                </c:pt>
                <c:pt idx="335" formatCode="#,##0_);[Red]\(#,##0\)">
                  <c:v>186664.28</c:v>
                </c:pt>
                <c:pt idx="336" formatCode="#,##0_);[Red]\(#,##0\)">
                  <c:v>188484.95</c:v>
                </c:pt>
                <c:pt idx="337" formatCode="#,##0_);[Red]\(#,##0\)">
                  <c:v>188485</c:v>
                </c:pt>
                <c:pt idx="338" formatCode="#,##0_);[Red]\(#,##0\)">
                  <c:v>180474.73</c:v>
                </c:pt>
                <c:pt idx="339" formatCode="#,##0_);[Red]\(#,##0\)">
                  <c:v>188207.38</c:v>
                </c:pt>
                <c:pt idx="340" formatCode="#,##0_);[Red]\(#,##0\)">
                  <c:v>198618.83</c:v>
                </c:pt>
                <c:pt idx="341" formatCode="#,##0_);[Red]\(#,##0\)">
                  <c:v>198619</c:v>
                </c:pt>
                <c:pt idx="342" formatCode="#,##0_);[Red]\(#,##0\)">
                  <c:v>198619</c:v>
                </c:pt>
                <c:pt idx="343" formatCode="#,##0_);[Red]\(#,##0\)">
                  <c:v>189089.55</c:v>
                </c:pt>
                <c:pt idx="344" formatCode="#,##0_);[Red]\(#,##0\)">
                  <c:v>216053.77</c:v>
                </c:pt>
                <c:pt idx="345" formatCode="#,##0_);[Red]\(#,##0\)">
                  <c:v>179849.52</c:v>
                </c:pt>
                <c:pt idx="346" formatCode="#,##0_);[Red]\(#,##0\)">
                  <c:v>179850</c:v>
                </c:pt>
                <c:pt idx="347" formatCode="#,##0_);[Red]\(#,##0\)">
                  <c:v>173749.01</c:v>
                </c:pt>
                <c:pt idx="348" formatCode="#,##0_);[Red]\(#,##0\)">
                  <c:v>200792.85</c:v>
                </c:pt>
                <c:pt idx="349" formatCode="#,##0_);[Red]\(#,##0\)">
                  <c:v>202331.91</c:v>
                </c:pt>
                <c:pt idx="350" formatCode="#,##0_);[Red]\(#,##0\)">
                  <c:v>203517.87</c:v>
                </c:pt>
                <c:pt idx="351" formatCode="#,##0_);[Red]\(#,##0\)">
                  <c:v>203518</c:v>
                </c:pt>
                <c:pt idx="352" formatCode="#,##0_);[Red]\(#,##0\)">
                  <c:v>203518</c:v>
                </c:pt>
                <c:pt idx="353" formatCode="#,##0_);[Red]\(#,##0\)">
                  <c:v>191114.58</c:v>
                </c:pt>
                <c:pt idx="354" formatCode="#,##0_);[Red]\(#,##0\)">
                  <c:v>153114.57999999999</c:v>
                </c:pt>
                <c:pt idx="355" formatCode="#,##0_);[Red]\(#,##0\)">
                  <c:v>153115</c:v>
                </c:pt>
                <c:pt idx="356" formatCode="#,##0_);[Red]\(#,##0\)">
                  <c:v>182792.08</c:v>
                </c:pt>
                <c:pt idx="357" formatCode="#,##0_);[Red]\(#,##0\)">
                  <c:v>182792</c:v>
                </c:pt>
                <c:pt idx="358" formatCode="#,##0_);[Red]\(#,##0\)">
                  <c:v>222152.66</c:v>
                </c:pt>
                <c:pt idx="359" formatCode="#,##0_);[Red]\(#,##0\)">
                  <c:v>222153</c:v>
                </c:pt>
                <c:pt idx="360" formatCode="#,##0_);[Red]\(#,##0\)">
                  <c:v>222153</c:v>
                </c:pt>
                <c:pt idx="361" formatCode="#,##0_);[Red]\(#,##0\)">
                  <c:v>222153</c:v>
                </c:pt>
                <c:pt idx="362" formatCode="#,##0_);[Red]\(#,##0\)">
                  <c:v>222152</c:v>
                </c:pt>
                <c:pt idx="363" formatCode="#,##0_);[Red]\(#,##0\)">
                  <c:v>211720.43</c:v>
                </c:pt>
                <c:pt idx="364" formatCode="#,##0_);[Red]\(#,##0\)">
                  <c:v>211720</c:v>
                </c:pt>
                <c:pt idx="365" formatCode="#,##0_);[Red]\(#,##0\)">
                  <c:v>211720</c:v>
                </c:pt>
                <c:pt idx="366" formatCode="#,##0_);[Red]\(#,##0\)">
                  <c:v>176327.95</c:v>
                </c:pt>
              </c:numCache>
            </c:numRef>
          </c:val>
          <c:smooth val="0"/>
        </c:ser>
        <c:dLbls>
          <c:showLegendKey val="0"/>
          <c:showVal val="0"/>
          <c:showCatName val="0"/>
          <c:showSerName val="0"/>
          <c:showPercent val="0"/>
          <c:showBubbleSize val="0"/>
        </c:dLbls>
        <c:smooth val="0"/>
        <c:axId val="619180584"/>
        <c:axId val="527291784"/>
      </c:lineChart>
      <c:dateAx>
        <c:axId val="619180584"/>
        <c:scaling>
          <c:orientation val="minMax"/>
        </c:scaling>
        <c:delete val="0"/>
        <c:axPos val="b"/>
        <c:numFmt formatCode="[$-409]m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7291784"/>
        <c:crosses val="autoZero"/>
        <c:auto val="1"/>
        <c:lblOffset val="100"/>
        <c:baseTimeUnit val="days"/>
        <c:majorUnit val="30"/>
        <c:majorTimeUnit val="days"/>
        <c:minorUnit val="4"/>
        <c:minorTimeUnit val="months"/>
      </c:dateAx>
      <c:valAx>
        <c:axId val="527291784"/>
        <c:scaling>
          <c:orientation val="minMax"/>
          <c:min val="150000"/>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180584"/>
        <c:crossesAt val="42737"/>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Data!$F$538:$F$553</c:f>
              <c:numCache>
                <c:formatCode>mmm\-yy</c:formatCode>
                <c:ptCount val="16"/>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numCache>
            </c:numRef>
          </c:cat>
          <c:val>
            <c:numRef>
              <c:f>Data!$G$538:$G$553</c:f>
              <c:numCache>
                <c:formatCode>"$"#,##0_);[Red]\("$"#,##0\)</c:formatCode>
                <c:ptCount val="16"/>
                <c:pt idx="0">
                  <c:v>351420</c:v>
                </c:pt>
                <c:pt idx="1">
                  <c:v>253330</c:v>
                </c:pt>
                <c:pt idx="2">
                  <c:v>280744</c:v>
                </c:pt>
                <c:pt idx="3">
                  <c:v>319478.15999999997</c:v>
                </c:pt>
                <c:pt idx="4">
                  <c:v>241828.1</c:v>
                </c:pt>
                <c:pt idx="5">
                  <c:v>248981.18</c:v>
                </c:pt>
                <c:pt idx="6">
                  <c:v>268937.63</c:v>
                </c:pt>
                <c:pt idx="7">
                  <c:v>198251.6</c:v>
                </c:pt>
                <c:pt idx="8">
                  <c:v>178964.63</c:v>
                </c:pt>
                <c:pt idx="9">
                  <c:v>199171.39</c:v>
                </c:pt>
                <c:pt idx="10">
                  <c:v>180584.58</c:v>
                </c:pt>
                <c:pt idx="11">
                  <c:v>258260.86</c:v>
                </c:pt>
                <c:pt idx="12">
                  <c:v>297556.56</c:v>
                </c:pt>
                <c:pt idx="13">
                  <c:v>287550</c:v>
                </c:pt>
                <c:pt idx="14">
                  <c:v>277662.34000000003</c:v>
                </c:pt>
                <c:pt idx="15">
                  <c:v>309102</c:v>
                </c:pt>
              </c:numCache>
            </c:numRef>
          </c:val>
        </c:ser>
        <c:dLbls>
          <c:showLegendKey val="0"/>
          <c:showVal val="0"/>
          <c:showCatName val="0"/>
          <c:showSerName val="0"/>
          <c:showPercent val="0"/>
          <c:showBubbleSize val="0"/>
        </c:dLbls>
        <c:gapWidth val="243"/>
        <c:overlap val="-83"/>
        <c:axId val="526467768"/>
        <c:axId val="526468160"/>
      </c:barChart>
      <c:dateAx>
        <c:axId val="52646776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468160"/>
        <c:crosses val="autoZero"/>
        <c:auto val="1"/>
        <c:lblOffset val="100"/>
        <c:baseTimeUnit val="months"/>
      </c:dateAx>
      <c:valAx>
        <c:axId val="52646816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467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0B2CB-381E-444F-BB68-85FF79CE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4</cp:revision>
  <dcterms:created xsi:type="dcterms:W3CDTF">2018-06-06T13:40:00Z</dcterms:created>
  <dcterms:modified xsi:type="dcterms:W3CDTF">2018-07-18T18:42:00Z</dcterms:modified>
</cp:coreProperties>
</file>