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29" w:rsidRPr="001E0050" w:rsidRDefault="006D2E29" w:rsidP="009F565B">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9F565B">
      <w:pPr>
        <w:ind w:left="-1440" w:right="-1440"/>
        <w:jc w:val="center"/>
        <w:rPr>
          <w:b/>
        </w:rPr>
      </w:pPr>
      <w:r w:rsidRPr="001E0050">
        <w:rPr>
          <w:b/>
        </w:rPr>
        <w:t>MEETING NOTES</w:t>
      </w:r>
    </w:p>
    <w:p w:rsidR="006D2E29" w:rsidRPr="001E0050" w:rsidRDefault="006D2E29" w:rsidP="009F565B">
      <w:pPr>
        <w:ind w:left="-1440" w:right="-1440"/>
        <w:jc w:val="both"/>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290"/>
        <w:gridCol w:w="5670"/>
      </w:tblGrid>
      <w:tr w:rsidR="006D2E29" w:rsidRPr="001E0050" w:rsidTr="009F565B">
        <w:tc>
          <w:tcPr>
            <w:tcW w:w="8910" w:type="dxa"/>
            <w:gridSpan w:val="2"/>
          </w:tcPr>
          <w:p w:rsidR="006D2E29" w:rsidRPr="001E0050" w:rsidRDefault="006D2E29" w:rsidP="009F565B">
            <w:pPr>
              <w:jc w:val="both"/>
              <w:rPr>
                <w:b/>
              </w:rPr>
            </w:pPr>
            <w:r w:rsidRPr="001E0050">
              <w:rPr>
                <w:b/>
              </w:rPr>
              <w:t xml:space="preserve">Committee:   </w:t>
            </w:r>
            <w:r w:rsidR="00E91034" w:rsidRPr="001E0050">
              <w:rPr>
                <w:b/>
              </w:rPr>
              <w:t>Budget and Finance</w:t>
            </w:r>
          </w:p>
        </w:tc>
        <w:tc>
          <w:tcPr>
            <w:tcW w:w="5670" w:type="dxa"/>
          </w:tcPr>
          <w:p w:rsidR="0055133D" w:rsidRPr="001E0050" w:rsidRDefault="006D2E29" w:rsidP="00B93F06">
            <w:pPr>
              <w:jc w:val="both"/>
              <w:rPr>
                <w:b/>
              </w:rPr>
            </w:pPr>
            <w:r w:rsidRPr="001E0050">
              <w:rPr>
                <w:b/>
              </w:rPr>
              <w:t xml:space="preserve">Date:    </w:t>
            </w:r>
            <w:r w:rsidR="00B93F06">
              <w:rPr>
                <w:b/>
              </w:rPr>
              <w:t>July 28,</w:t>
            </w:r>
            <w:r w:rsidR="003D5D2B">
              <w:rPr>
                <w:b/>
              </w:rPr>
              <w:t xml:space="preserve"> 2020</w:t>
            </w:r>
          </w:p>
        </w:tc>
      </w:tr>
      <w:tr w:rsidR="00D81AA6" w:rsidRPr="001E0050" w:rsidTr="009F565B">
        <w:trPr>
          <w:trHeight w:val="275"/>
        </w:trPr>
        <w:tc>
          <w:tcPr>
            <w:tcW w:w="8910" w:type="dxa"/>
            <w:gridSpan w:val="2"/>
            <w:vMerge w:val="restart"/>
            <w:vAlign w:val="center"/>
          </w:tcPr>
          <w:p w:rsidR="009F565B" w:rsidRDefault="00D81AA6" w:rsidP="009F565B">
            <w:pPr>
              <w:jc w:val="both"/>
              <w:rPr>
                <w:b/>
              </w:rPr>
            </w:pPr>
            <w:r w:rsidRPr="001E0050">
              <w:rPr>
                <w:b/>
              </w:rPr>
              <w:t>Board Members Attending:</w:t>
            </w:r>
            <w:r w:rsidR="004159EC">
              <w:rPr>
                <w:b/>
              </w:rPr>
              <w:t xml:space="preserve"> </w:t>
            </w:r>
            <w:r w:rsidR="007453E8">
              <w:rPr>
                <w:b/>
              </w:rPr>
              <w:t>Jack Mabb</w:t>
            </w:r>
            <w:r w:rsidR="00CB60CB">
              <w:rPr>
                <w:b/>
              </w:rPr>
              <w:t xml:space="preserve"> (Chair)</w:t>
            </w:r>
            <w:r w:rsidR="007453E8">
              <w:rPr>
                <w:b/>
              </w:rPr>
              <w:t xml:space="preserve">, PJ Keeler, </w:t>
            </w:r>
            <w:r w:rsidR="00B93F06">
              <w:rPr>
                <w:b/>
              </w:rPr>
              <w:t>Bob Gibson</w:t>
            </w:r>
            <w:r w:rsidR="007453E8">
              <w:rPr>
                <w:b/>
              </w:rPr>
              <w:t xml:space="preserve">, </w:t>
            </w:r>
            <w:r w:rsidR="00B93F06">
              <w:rPr>
                <w:b/>
              </w:rPr>
              <w:t xml:space="preserve">and </w:t>
            </w:r>
            <w:r w:rsidR="007453E8">
              <w:rPr>
                <w:b/>
              </w:rPr>
              <w:t xml:space="preserve">Casey O’Brien </w:t>
            </w:r>
          </w:p>
          <w:p w:rsidR="001A7704" w:rsidRPr="001E0050" w:rsidRDefault="00D81AA6" w:rsidP="00B93F06">
            <w:pPr>
              <w:jc w:val="both"/>
            </w:pPr>
            <w:r w:rsidRPr="001E0050">
              <w:rPr>
                <w:b/>
              </w:rPr>
              <w:t xml:space="preserve">Board Members Absent:  </w:t>
            </w:r>
            <w:r w:rsidR="00B93F06">
              <w:rPr>
                <w:b/>
              </w:rPr>
              <w:t>Ken Stall</w:t>
            </w:r>
            <w:r w:rsidR="00B93F06">
              <w:rPr>
                <w:b/>
              </w:rPr>
              <w:t xml:space="preserve"> </w:t>
            </w:r>
            <w:r w:rsidR="007453E8">
              <w:rPr>
                <w:b/>
              </w:rPr>
              <w:t>and Kevin McDonald</w:t>
            </w:r>
          </w:p>
        </w:tc>
        <w:tc>
          <w:tcPr>
            <w:tcW w:w="5670" w:type="dxa"/>
          </w:tcPr>
          <w:p w:rsidR="00D81AA6" w:rsidRPr="001E0050" w:rsidRDefault="00D81AA6" w:rsidP="009F565B">
            <w:pPr>
              <w:jc w:val="both"/>
              <w:rPr>
                <w:b/>
              </w:rPr>
            </w:pPr>
            <w:r w:rsidRPr="001E0050">
              <w:rPr>
                <w:b/>
              </w:rPr>
              <w:t>Guests:</w:t>
            </w:r>
            <w:r w:rsidR="00303441">
              <w:rPr>
                <w:b/>
              </w:rPr>
              <w:t xml:space="preserve"> </w:t>
            </w:r>
            <w:r w:rsidR="00082DA3">
              <w:rPr>
                <w:b/>
              </w:rPr>
              <w:t>Terre</w:t>
            </w:r>
            <w:r w:rsidR="008E4A13">
              <w:rPr>
                <w:b/>
              </w:rPr>
              <w:t>nce Pellit</w:t>
            </w:r>
            <w:r w:rsidR="00082DA3">
              <w:rPr>
                <w:b/>
              </w:rPr>
              <w:t>t</w:t>
            </w:r>
            <w:r w:rsidR="008E4A13">
              <w:rPr>
                <w:b/>
              </w:rPr>
              <w:t>eri</w:t>
            </w:r>
          </w:p>
        </w:tc>
      </w:tr>
      <w:tr w:rsidR="00D81AA6" w:rsidRPr="001E0050" w:rsidTr="009F565B">
        <w:trPr>
          <w:trHeight w:val="296"/>
        </w:trPr>
        <w:tc>
          <w:tcPr>
            <w:tcW w:w="8910" w:type="dxa"/>
            <w:gridSpan w:val="2"/>
            <w:vMerge/>
          </w:tcPr>
          <w:p w:rsidR="00D81AA6" w:rsidRPr="001E0050" w:rsidRDefault="00D81AA6" w:rsidP="009F565B">
            <w:pPr>
              <w:jc w:val="both"/>
              <w:rPr>
                <w:b/>
              </w:rPr>
            </w:pPr>
          </w:p>
        </w:tc>
        <w:tc>
          <w:tcPr>
            <w:tcW w:w="5670" w:type="dxa"/>
          </w:tcPr>
          <w:p w:rsidR="00D81AA6" w:rsidRPr="001E0050" w:rsidRDefault="00D81AA6" w:rsidP="009F565B">
            <w:pPr>
              <w:jc w:val="both"/>
              <w:rPr>
                <w:b/>
              </w:rPr>
            </w:pPr>
            <w:r w:rsidRPr="001E0050">
              <w:rPr>
                <w:b/>
              </w:rPr>
              <w:t>Staff Members Attending: Claire Parde</w:t>
            </w:r>
            <w:r w:rsidR="004E0E27">
              <w:rPr>
                <w:b/>
              </w:rPr>
              <w:t xml:space="preserve"> and John Ray</w:t>
            </w:r>
          </w:p>
        </w:tc>
      </w:tr>
      <w:tr w:rsidR="006D2E29" w:rsidRPr="001E0050" w:rsidTr="00982840">
        <w:trPr>
          <w:trHeight w:val="345"/>
        </w:trPr>
        <w:tc>
          <w:tcPr>
            <w:tcW w:w="1620" w:type="dxa"/>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 xml:space="preserve">TOPIC </w:t>
            </w:r>
          </w:p>
        </w:tc>
        <w:tc>
          <w:tcPr>
            <w:tcW w:w="12960" w:type="dxa"/>
            <w:gridSpan w:val="2"/>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SUMMARY OF TOPIC DISCUSSED</w:t>
            </w:r>
          </w:p>
        </w:tc>
      </w:tr>
      <w:tr w:rsidR="000E1E5A" w:rsidRPr="001E0050" w:rsidTr="00982840">
        <w:trPr>
          <w:trHeight w:val="1520"/>
        </w:trPr>
        <w:tc>
          <w:tcPr>
            <w:tcW w:w="1620" w:type="dxa"/>
            <w:tcBorders>
              <w:top w:val="single" w:sz="4" w:space="0" w:color="auto"/>
              <w:left w:val="single" w:sz="8" w:space="0" w:color="auto"/>
              <w:bottom w:val="single" w:sz="4" w:space="0" w:color="auto"/>
              <w:right w:val="single" w:sz="4" w:space="0" w:color="auto"/>
            </w:tcBorders>
            <w:vAlign w:val="center"/>
          </w:tcPr>
          <w:p w:rsidR="000E1E5A" w:rsidRDefault="00C30993" w:rsidP="009F565B">
            <w:r>
              <w:t>Update on Investment Account</w:t>
            </w:r>
          </w:p>
        </w:tc>
        <w:tc>
          <w:tcPr>
            <w:tcW w:w="12960" w:type="dxa"/>
            <w:gridSpan w:val="2"/>
            <w:tcBorders>
              <w:top w:val="single" w:sz="4" w:space="0" w:color="auto"/>
              <w:left w:val="single" w:sz="4" w:space="0" w:color="auto"/>
              <w:bottom w:val="single" w:sz="4" w:space="0" w:color="auto"/>
            </w:tcBorders>
            <w:vAlign w:val="center"/>
          </w:tcPr>
          <w:p w:rsidR="00B93F06" w:rsidRDefault="00E722FC" w:rsidP="00B93F06">
            <w:pPr>
              <w:spacing w:before="120" w:after="120"/>
              <w:jc w:val="both"/>
            </w:pPr>
            <w:r>
              <w:t>TJ Pellitter</w:t>
            </w:r>
            <w:r w:rsidR="00CC41D1">
              <w:t xml:space="preserve">i, the </w:t>
            </w:r>
            <w:r w:rsidR="00C30993">
              <w:t>manager of</w:t>
            </w:r>
            <w:r w:rsidR="00CC41D1">
              <w:t xml:space="preserve"> the agency’s </w:t>
            </w:r>
            <w:r w:rsidR="00C30993">
              <w:t>investment</w:t>
            </w:r>
            <w:r w:rsidR="00B93F06">
              <w:t xml:space="preserve"> account (“the Fund”) and the 401(k) profit-sharing account</w:t>
            </w:r>
            <w:r w:rsidR="00CC41D1">
              <w:t>, provide</w:t>
            </w:r>
            <w:r w:rsidR="00835CE2">
              <w:t>d</w:t>
            </w:r>
            <w:r w:rsidR="00CC41D1">
              <w:t xml:space="preserve"> an update to the Committee.  </w:t>
            </w:r>
            <w:r w:rsidR="00C30993">
              <w:t>TJ re</w:t>
            </w:r>
            <w:r w:rsidR="00B93F06">
              <w:t xml:space="preserve">minded the Committee </w:t>
            </w:r>
            <w:r w:rsidR="00C30993">
              <w:t xml:space="preserve">that when he took over the </w:t>
            </w:r>
            <w:r w:rsidR="00BC6402">
              <w:t xml:space="preserve">investment </w:t>
            </w:r>
            <w:r w:rsidR="00C30993">
              <w:t>account while the market was high, he initially</w:t>
            </w:r>
            <w:r w:rsidR="00CC41D1">
              <w:t xml:space="preserve"> weight</w:t>
            </w:r>
            <w:r w:rsidR="00C30993">
              <w:t>ed the investments more heavily to fixed income (in the form of bonds) and less to equities.</w:t>
            </w:r>
            <w:r w:rsidR="00CC41D1">
              <w:t xml:space="preserve">  When the market dropped, he rebalanced the account, purchasing more equities while the price was low, and having fewer fixed income investments. </w:t>
            </w:r>
            <w:r w:rsidR="00B93F06">
              <w:t xml:space="preserve">At this point in time, the Fund’s performance actually exceeds </w:t>
            </w:r>
            <w:r w:rsidR="00BC6402">
              <w:t xml:space="preserve">that of </w:t>
            </w:r>
            <w:r w:rsidR="00B93F06">
              <w:t xml:space="preserve">the S&amp;P 500.  However, TJ cautions that he does not expect this to continue, particularly as an election is approaching, which is typically </w:t>
            </w:r>
            <w:r w:rsidR="00835CE2">
              <w:t xml:space="preserve">disruptive to the markets. </w:t>
            </w:r>
          </w:p>
          <w:p w:rsidR="00894980" w:rsidRPr="003A2E4C" w:rsidRDefault="00894980" w:rsidP="00BC6402">
            <w:pPr>
              <w:spacing w:before="120" w:after="120"/>
              <w:jc w:val="both"/>
              <w:rPr>
                <w:b/>
              </w:rPr>
            </w:pPr>
            <w:r>
              <w:t xml:space="preserve">TJ also manages the agency’s 401(k) account.  As previously reported, </w:t>
            </w:r>
            <w:r w:rsidR="00B93F06">
              <w:t>the Consortium has engaged Iron Financial as its 3(38)</w:t>
            </w:r>
            <w:r w:rsidR="00BC6402">
              <w:t>. W</w:t>
            </w:r>
            <w:r w:rsidR="00B93F06">
              <w:t xml:space="preserve">e have now received our first communication from them, which includes a required communication to all plan participants and a report </w:t>
            </w:r>
            <w:r w:rsidR="00835CE2">
              <w:t>for the Plan Sponsor that details fund changes.  TJ counseled Claire and John to print, initial, date and file the report to the Plan Sponsor.</w:t>
            </w:r>
            <w:r w:rsidR="00B93F06">
              <w:t xml:space="preserve"> </w:t>
            </w:r>
          </w:p>
        </w:tc>
      </w:tr>
      <w:tr w:rsidR="00835CE2" w:rsidRPr="001E0050" w:rsidTr="00B070AB">
        <w:trPr>
          <w:trHeight w:val="4805"/>
        </w:trPr>
        <w:tc>
          <w:tcPr>
            <w:tcW w:w="1620" w:type="dxa"/>
            <w:tcBorders>
              <w:top w:val="single" w:sz="4" w:space="0" w:color="auto"/>
              <w:left w:val="single" w:sz="8" w:space="0" w:color="auto"/>
              <w:bottom w:val="single" w:sz="4" w:space="0" w:color="auto"/>
              <w:right w:val="single" w:sz="4" w:space="0" w:color="auto"/>
            </w:tcBorders>
            <w:vAlign w:val="center"/>
          </w:tcPr>
          <w:p w:rsidR="00835CE2" w:rsidRDefault="00835CE2" w:rsidP="009F565B">
            <w:r>
              <w:t>Scenario Planning</w:t>
            </w:r>
          </w:p>
        </w:tc>
        <w:tc>
          <w:tcPr>
            <w:tcW w:w="12960" w:type="dxa"/>
            <w:gridSpan w:val="2"/>
            <w:tcBorders>
              <w:top w:val="single" w:sz="4" w:space="0" w:color="auto"/>
              <w:left w:val="single" w:sz="4" w:space="0" w:color="auto"/>
              <w:bottom w:val="single" w:sz="4" w:space="0" w:color="auto"/>
            </w:tcBorders>
            <w:vAlign w:val="center"/>
          </w:tcPr>
          <w:p w:rsidR="00B070AB" w:rsidRDefault="00835CE2" w:rsidP="005E61DA">
            <w:r>
              <w:t>In response to the Committee’s request at its meeting of June 2</w:t>
            </w:r>
            <w:r w:rsidRPr="005E61DA">
              <w:rPr>
                <w:vertAlign w:val="superscript"/>
              </w:rPr>
              <w:t>nd</w:t>
            </w:r>
            <w:r>
              <w:t xml:space="preserve">, John Ray updated the </w:t>
            </w:r>
            <w:r w:rsidR="00B9717B">
              <w:t xml:space="preserve">agency’s </w:t>
            </w:r>
            <w:r>
              <w:t xml:space="preserve">operating budget to reflect changes, both real and potential, to revenue and expenses.  </w:t>
            </w:r>
            <w:r w:rsidR="00820CBF">
              <w:t>The key</w:t>
            </w:r>
            <w:r w:rsidR="005E61DA">
              <w:t xml:space="preserve"> assumptions that were us</w:t>
            </w:r>
            <w:r w:rsidR="00820CBF">
              <w:t xml:space="preserve">ed to revise the budget </w:t>
            </w:r>
            <w:r w:rsidR="00B070AB">
              <w:t>includ</w:t>
            </w:r>
            <w:r w:rsidR="00820CBF">
              <w:t>e</w:t>
            </w:r>
            <w:r w:rsidR="00B070AB">
              <w:t>:</w:t>
            </w:r>
          </w:p>
          <w:p w:rsidR="00B070AB" w:rsidRDefault="00B070AB" w:rsidP="00B836AC">
            <w:pPr>
              <w:pStyle w:val="ListParagraph"/>
              <w:numPr>
                <w:ilvl w:val="0"/>
                <w:numId w:val="25"/>
              </w:numPr>
              <w:spacing w:before="120" w:after="120" w:line="240" w:lineRule="auto"/>
              <w:contextualSpacing w:val="0"/>
              <w:jc w:val="both"/>
              <w:rPr>
                <w:rFonts w:ascii="Times New Roman" w:hAnsi="Times New Roman"/>
                <w:color w:val="000000" w:themeColor="text1"/>
                <w:sz w:val="24"/>
              </w:rPr>
            </w:pPr>
            <w:r w:rsidRPr="00B070AB">
              <w:rPr>
                <w:rFonts w:ascii="Times New Roman" w:hAnsi="Times New Roman"/>
                <w:color w:val="000000" w:themeColor="text1"/>
                <w:sz w:val="24"/>
              </w:rPr>
              <w:t xml:space="preserve">A 34% cut to the budgets of the RHN Program contract </w:t>
            </w:r>
            <w:r w:rsidRPr="00B070AB">
              <w:rPr>
                <w:rFonts w:ascii="Times New Roman" w:hAnsi="Times New Roman"/>
                <w:color w:val="000000" w:themeColor="text1"/>
                <w:sz w:val="24"/>
              </w:rPr>
              <w:t xml:space="preserve">(1/20-12/20) &amp; </w:t>
            </w:r>
            <w:r w:rsidRPr="00B070AB">
              <w:rPr>
                <w:rFonts w:ascii="Times New Roman" w:hAnsi="Times New Roman"/>
                <w:color w:val="000000" w:themeColor="text1"/>
                <w:sz w:val="24"/>
              </w:rPr>
              <w:t xml:space="preserve">the Tobacco Program contract </w:t>
            </w:r>
            <w:r w:rsidRPr="00B070AB">
              <w:rPr>
                <w:rFonts w:ascii="Times New Roman" w:hAnsi="Times New Roman"/>
                <w:color w:val="000000" w:themeColor="text1"/>
                <w:sz w:val="24"/>
              </w:rPr>
              <w:t xml:space="preserve">(7/1/20-6/30/21) </w:t>
            </w:r>
          </w:p>
          <w:p w:rsidR="00B070AB" w:rsidRPr="00B070AB" w:rsidRDefault="00B070AB" w:rsidP="00B836AC">
            <w:pPr>
              <w:pStyle w:val="ListParagraph"/>
              <w:numPr>
                <w:ilvl w:val="0"/>
                <w:numId w:val="25"/>
              </w:numPr>
              <w:spacing w:before="120" w:after="120" w:line="240" w:lineRule="auto"/>
              <w:contextualSpacing w:val="0"/>
              <w:jc w:val="both"/>
              <w:rPr>
                <w:rFonts w:ascii="Times New Roman" w:hAnsi="Times New Roman"/>
                <w:color w:val="000000" w:themeColor="text1"/>
                <w:sz w:val="24"/>
              </w:rPr>
            </w:pPr>
            <w:r>
              <w:rPr>
                <w:rFonts w:ascii="Times New Roman" w:hAnsi="Times New Roman"/>
                <w:color w:val="000000" w:themeColor="text1"/>
                <w:sz w:val="24"/>
              </w:rPr>
              <w:t xml:space="preserve">No cut to the </w:t>
            </w:r>
            <w:r w:rsidR="00820CBF">
              <w:rPr>
                <w:rFonts w:ascii="Times New Roman" w:hAnsi="Times New Roman"/>
                <w:color w:val="000000" w:themeColor="text1"/>
                <w:sz w:val="24"/>
              </w:rPr>
              <w:t xml:space="preserve">Navigator Program budget at this time, as </w:t>
            </w:r>
            <w:r w:rsidRPr="00B070AB">
              <w:rPr>
                <w:rFonts w:ascii="Times New Roman" w:hAnsi="Times New Roman"/>
                <w:color w:val="000000" w:themeColor="text1"/>
                <w:sz w:val="24"/>
              </w:rPr>
              <w:t xml:space="preserve">staff were recently asked to prepare and submit a contract year budget </w:t>
            </w:r>
            <w:r w:rsidR="00BC6402">
              <w:rPr>
                <w:rFonts w:ascii="Times New Roman" w:hAnsi="Times New Roman"/>
                <w:color w:val="000000" w:themeColor="text1"/>
                <w:sz w:val="24"/>
              </w:rPr>
              <w:t xml:space="preserve">in the original award amount </w:t>
            </w:r>
            <w:r w:rsidRPr="00B070AB">
              <w:rPr>
                <w:rFonts w:ascii="Times New Roman" w:hAnsi="Times New Roman"/>
                <w:color w:val="000000" w:themeColor="text1"/>
                <w:sz w:val="24"/>
              </w:rPr>
              <w:t xml:space="preserve">for </w:t>
            </w:r>
            <w:r>
              <w:rPr>
                <w:rFonts w:ascii="Times New Roman" w:hAnsi="Times New Roman"/>
                <w:color w:val="000000" w:themeColor="text1"/>
                <w:sz w:val="24"/>
              </w:rPr>
              <w:t xml:space="preserve">the </w:t>
            </w:r>
            <w:r w:rsidR="00820CBF">
              <w:rPr>
                <w:rFonts w:ascii="Times New Roman" w:hAnsi="Times New Roman"/>
                <w:color w:val="000000" w:themeColor="text1"/>
                <w:sz w:val="24"/>
              </w:rPr>
              <w:t>new contract year (</w:t>
            </w:r>
            <w:r w:rsidR="00820CBF" w:rsidRPr="00B070AB">
              <w:rPr>
                <w:rFonts w:ascii="Times New Roman" w:hAnsi="Times New Roman"/>
                <w:color w:val="000000" w:themeColor="text1"/>
                <w:sz w:val="24"/>
              </w:rPr>
              <w:t>8/1/20-7/31/21</w:t>
            </w:r>
            <w:r w:rsidR="00820CBF">
              <w:rPr>
                <w:rFonts w:ascii="Times New Roman" w:hAnsi="Times New Roman"/>
                <w:color w:val="000000" w:themeColor="text1"/>
                <w:sz w:val="24"/>
              </w:rPr>
              <w:t>); however, this does not preclude a cut later</w:t>
            </w:r>
          </w:p>
          <w:p w:rsidR="00B070AB" w:rsidRPr="00B070AB" w:rsidRDefault="00F77F36" w:rsidP="00B070AB">
            <w:pPr>
              <w:pStyle w:val="ListParagraph"/>
              <w:numPr>
                <w:ilvl w:val="0"/>
                <w:numId w:val="25"/>
              </w:numPr>
              <w:spacing w:before="120" w:after="120" w:line="240" w:lineRule="auto"/>
              <w:contextualSpacing w:val="0"/>
              <w:jc w:val="both"/>
              <w:rPr>
                <w:rFonts w:ascii="Times New Roman" w:hAnsi="Times New Roman"/>
                <w:color w:val="000000" w:themeColor="text1"/>
                <w:sz w:val="24"/>
              </w:rPr>
            </w:pPr>
            <w:r>
              <w:rPr>
                <w:rFonts w:ascii="Times New Roman" w:hAnsi="Times New Roman"/>
                <w:color w:val="000000" w:themeColor="text1"/>
                <w:sz w:val="24"/>
              </w:rPr>
              <w:t>E</w:t>
            </w:r>
            <w:r w:rsidR="00B070AB" w:rsidRPr="00B070AB">
              <w:rPr>
                <w:rFonts w:ascii="Times New Roman" w:hAnsi="Times New Roman"/>
                <w:color w:val="000000" w:themeColor="text1"/>
                <w:sz w:val="24"/>
              </w:rPr>
              <w:t xml:space="preserve">xisting budgets/agreements with County </w:t>
            </w:r>
            <w:r w:rsidR="00820CBF">
              <w:rPr>
                <w:rFonts w:ascii="Times New Roman" w:hAnsi="Times New Roman"/>
                <w:color w:val="000000" w:themeColor="text1"/>
                <w:sz w:val="24"/>
              </w:rPr>
              <w:t>Departments will not be reduced</w:t>
            </w:r>
          </w:p>
          <w:p w:rsidR="00B070AB" w:rsidRPr="00B070AB" w:rsidRDefault="00F77F36" w:rsidP="00B070AB">
            <w:pPr>
              <w:pStyle w:val="ListParagraph"/>
              <w:numPr>
                <w:ilvl w:val="0"/>
                <w:numId w:val="25"/>
              </w:numPr>
              <w:spacing w:before="120" w:after="120" w:line="240" w:lineRule="auto"/>
              <w:contextualSpacing w:val="0"/>
              <w:jc w:val="both"/>
              <w:rPr>
                <w:rFonts w:ascii="Times New Roman" w:hAnsi="Times New Roman"/>
                <w:color w:val="000000" w:themeColor="text1"/>
                <w:sz w:val="24"/>
              </w:rPr>
            </w:pPr>
            <w:r>
              <w:rPr>
                <w:rFonts w:ascii="Times New Roman" w:hAnsi="Times New Roman"/>
                <w:color w:val="000000" w:themeColor="text1"/>
                <w:sz w:val="24"/>
              </w:rPr>
              <w:t>A</w:t>
            </w:r>
            <w:r w:rsidR="00B070AB" w:rsidRPr="00B070AB">
              <w:rPr>
                <w:rFonts w:ascii="Times New Roman" w:hAnsi="Times New Roman"/>
                <w:color w:val="000000" w:themeColor="text1"/>
                <w:sz w:val="24"/>
              </w:rPr>
              <w:t xml:space="preserve"> small increase in Medicaid revenue when compared to the first three</w:t>
            </w:r>
            <w:r>
              <w:rPr>
                <w:rFonts w:ascii="Times New Roman" w:hAnsi="Times New Roman"/>
                <w:color w:val="000000" w:themeColor="text1"/>
                <w:sz w:val="24"/>
              </w:rPr>
              <w:t xml:space="preserve"> months of the COVID-19 period</w:t>
            </w:r>
          </w:p>
          <w:p w:rsidR="00B070AB" w:rsidRPr="00B070AB" w:rsidRDefault="00BC6402" w:rsidP="00B070AB">
            <w:pPr>
              <w:pStyle w:val="ListParagraph"/>
              <w:numPr>
                <w:ilvl w:val="0"/>
                <w:numId w:val="25"/>
              </w:numPr>
              <w:spacing w:before="120" w:after="120" w:line="240" w:lineRule="auto"/>
              <w:contextualSpacing w:val="0"/>
              <w:jc w:val="both"/>
              <w:rPr>
                <w:rFonts w:ascii="Times New Roman" w:hAnsi="Times New Roman"/>
                <w:color w:val="000000" w:themeColor="text1"/>
                <w:sz w:val="24"/>
              </w:rPr>
            </w:pPr>
            <w:r>
              <w:rPr>
                <w:rFonts w:ascii="Times New Roman" w:hAnsi="Times New Roman"/>
                <w:color w:val="000000" w:themeColor="text1"/>
                <w:sz w:val="24"/>
              </w:rPr>
              <w:t>O</w:t>
            </w:r>
            <w:r w:rsidR="00B070AB" w:rsidRPr="00B070AB">
              <w:rPr>
                <w:rFonts w:ascii="Times New Roman" w:hAnsi="Times New Roman"/>
                <w:color w:val="000000" w:themeColor="text1"/>
                <w:sz w:val="24"/>
              </w:rPr>
              <w:t>pen positions will not be fill</w:t>
            </w:r>
            <w:r w:rsidR="00F77F36">
              <w:rPr>
                <w:rFonts w:ascii="Times New Roman" w:hAnsi="Times New Roman"/>
                <w:color w:val="000000" w:themeColor="text1"/>
                <w:sz w:val="24"/>
              </w:rPr>
              <w:t>ed until the start of 2021 year</w:t>
            </w:r>
          </w:p>
          <w:p w:rsidR="005E61DA" w:rsidRPr="00B070AB" w:rsidRDefault="00B070AB" w:rsidP="00B070AB">
            <w:pPr>
              <w:pStyle w:val="ListParagraph"/>
              <w:numPr>
                <w:ilvl w:val="0"/>
                <w:numId w:val="25"/>
              </w:numPr>
              <w:spacing w:before="120" w:after="120" w:line="240" w:lineRule="auto"/>
              <w:contextualSpacing w:val="0"/>
              <w:rPr>
                <w:rFonts w:ascii="Times New Roman" w:hAnsi="Times New Roman"/>
                <w:color w:val="000000" w:themeColor="text1"/>
                <w:sz w:val="28"/>
                <w:szCs w:val="24"/>
              </w:rPr>
            </w:pPr>
            <w:r w:rsidRPr="00B070AB">
              <w:rPr>
                <w:rFonts w:ascii="Times New Roman" w:hAnsi="Times New Roman"/>
                <w:color w:val="000000" w:themeColor="text1"/>
                <w:sz w:val="24"/>
              </w:rPr>
              <w:t xml:space="preserve">All grants receivables </w:t>
            </w:r>
            <w:r w:rsidR="00F77F36">
              <w:rPr>
                <w:rFonts w:ascii="Times New Roman" w:hAnsi="Times New Roman"/>
                <w:color w:val="000000" w:themeColor="text1"/>
                <w:sz w:val="24"/>
              </w:rPr>
              <w:t xml:space="preserve">are 100% </w:t>
            </w:r>
            <w:r w:rsidRPr="00B070AB">
              <w:rPr>
                <w:rFonts w:ascii="Times New Roman" w:hAnsi="Times New Roman"/>
                <w:color w:val="000000" w:themeColor="text1"/>
                <w:sz w:val="24"/>
              </w:rPr>
              <w:t xml:space="preserve">collectable </w:t>
            </w:r>
            <w:r w:rsidR="00F77F36">
              <w:rPr>
                <w:rFonts w:ascii="Times New Roman" w:hAnsi="Times New Roman"/>
                <w:color w:val="000000" w:themeColor="text1"/>
                <w:sz w:val="24"/>
              </w:rPr>
              <w:t>(there has been n</w:t>
            </w:r>
            <w:r w:rsidRPr="00B070AB">
              <w:rPr>
                <w:rFonts w:ascii="Times New Roman" w:hAnsi="Times New Roman"/>
                <w:color w:val="000000" w:themeColor="text1"/>
                <w:sz w:val="24"/>
              </w:rPr>
              <w:t>o allow</w:t>
            </w:r>
            <w:r w:rsidR="00F77F36">
              <w:rPr>
                <w:rFonts w:ascii="Times New Roman" w:hAnsi="Times New Roman"/>
                <w:color w:val="000000" w:themeColor="text1"/>
                <w:sz w:val="24"/>
              </w:rPr>
              <w:t>ance for uncollectable/bad debt)</w:t>
            </w:r>
          </w:p>
          <w:p w:rsidR="00835CE2" w:rsidRPr="00B070AB" w:rsidRDefault="005E61DA" w:rsidP="00B070AB">
            <w:pPr>
              <w:pStyle w:val="ListParagraph"/>
              <w:numPr>
                <w:ilvl w:val="0"/>
                <w:numId w:val="25"/>
              </w:numPr>
              <w:spacing w:before="120" w:after="120" w:line="240" w:lineRule="auto"/>
              <w:contextualSpacing w:val="0"/>
              <w:jc w:val="both"/>
              <w:rPr>
                <w:rFonts w:ascii="Times New Roman" w:hAnsi="Times New Roman"/>
                <w:color w:val="000000" w:themeColor="text1"/>
                <w:sz w:val="24"/>
              </w:rPr>
            </w:pPr>
            <w:r w:rsidRPr="00B070AB">
              <w:rPr>
                <w:rFonts w:ascii="Times New Roman" w:hAnsi="Times New Roman"/>
                <w:color w:val="000000" w:themeColor="text1"/>
                <w:sz w:val="24"/>
              </w:rPr>
              <w:t>PPP loan is treated, in its entirety, as a liability, and not reflected as revenue</w:t>
            </w:r>
          </w:p>
          <w:p w:rsidR="00B070AB" w:rsidRDefault="00B070AB" w:rsidP="00F77F36">
            <w:pPr>
              <w:spacing w:before="120" w:after="120"/>
              <w:jc w:val="both"/>
            </w:pPr>
            <w:r w:rsidRPr="00B070AB">
              <w:t xml:space="preserve">Claire pointed out that </w:t>
            </w:r>
            <w:r w:rsidR="00F77F36">
              <w:t xml:space="preserve">many of these assumptions </w:t>
            </w:r>
            <w:r w:rsidRPr="00B070AB">
              <w:t xml:space="preserve">are speculative; NYSDOH has signaled that there will be </w:t>
            </w:r>
            <w:r w:rsidR="00BC6402">
              <w:t>cuts to contract budgets</w:t>
            </w:r>
            <w:r w:rsidRPr="00B070AB">
              <w:t xml:space="preserve"> but has not confirmed the</w:t>
            </w:r>
            <w:r w:rsidR="00BC6402">
              <w:t xml:space="preserve"> amount, timing, </w:t>
            </w:r>
            <w:r w:rsidRPr="00B070AB">
              <w:t xml:space="preserve">or </w:t>
            </w:r>
            <w:r w:rsidR="00D069AE">
              <w:t>guidance</w:t>
            </w:r>
            <w:r w:rsidRPr="00B070AB">
              <w:t xml:space="preserve">  </w:t>
            </w:r>
          </w:p>
          <w:p w:rsidR="00F77F36" w:rsidRDefault="00F77F36" w:rsidP="00D069AE">
            <w:pPr>
              <w:spacing w:before="120" w:after="120"/>
              <w:jc w:val="both"/>
            </w:pPr>
            <w:r>
              <w:t xml:space="preserve">The Committee commended staff on their work </w:t>
            </w:r>
            <w:r w:rsidR="00D069AE">
              <w:t xml:space="preserve">forecasting revenues and expenses during this uncertain time. </w:t>
            </w:r>
            <w:r>
              <w:t xml:space="preserve"> </w:t>
            </w:r>
          </w:p>
        </w:tc>
      </w:tr>
      <w:tr w:rsidR="00B956A7" w:rsidRPr="001E0050" w:rsidTr="00BC6402">
        <w:trPr>
          <w:trHeight w:val="1610"/>
        </w:trPr>
        <w:tc>
          <w:tcPr>
            <w:tcW w:w="1620" w:type="dxa"/>
            <w:tcBorders>
              <w:top w:val="single" w:sz="4" w:space="0" w:color="auto"/>
              <w:left w:val="single" w:sz="8" w:space="0" w:color="auto"/>
              <w:bottom w:val="single" w:sz="4" w:space="0" w:color="auto"/>
              <w:right w:val="single" w:sz="4" w:space="0" w:color="auto"/>
            </w:tcBorders>
            <w:vAlign w:val="center"/>
          </w:tcPr>
          <w:p w:rsidR="00B956A7" w:rsidRDefault="00B956A7" w:rsidP="009F565B">
            <w:r>
              <w:lastRenderedPageBreak/>
              <w:t>Report on Paycheck Protection Program</w:t>
            </w:r>
          </w:p>
        </w:tc>
        <w:tc>
          <w:tcPr>
            <w:tcW w:w="12960" w:type="dxa"/>
            <w:gridSpan w:val="2"/>
            <w:tcBorders>
              <w:top w:val="single" w:sz="4" w:space="0" w:color="auto"/>
              <w:left w:val="single" w:sz="4" w:space="0" w:color="auto"/>
              <w:bottom w:val="single" w:sz="4" w:space="0" w:color="auto"/>
            </w:tcBorders>
            <w:vAlign w:val="center"/>
          </w:tcPr>
          <w:p w:rsidR="00B956A7" w:rsidRDefault="00F77F36" w:rsidP="00BC6402">
            <w:pPr>
              <w:spacing w:before="120" w:after="120"/>
              <w:jc w:val="both"/>
            </w:pPr>
            <w:r>
              <w:t xml:space="preserve">The monies from the Paycheck Protection Program have bolstered the agency’s cash balance. </w:t>
            </w:r>
            <w:r w:rsidR="00BC6402">
              <w:t>The agency has taken the approach of preserving these funds as much as possible by continuing to allocate otherwise eligible expenses to grant contracts.  However, in order to maximize the forgiveness amount and to offset reductions in contract budgets, we expect to re</w:t>
            </w:r>
            <w:r w:rsidR="00D069AE">
              <w:t>-</w:t>
            </w:r>
            <w:r w:rsidR="00BC6402">
              <w:t xml:space="preserve">class some expenses that were </w:t>
            </w:r>
            <w:r w:rsidR="00D069AE">
              <w:t xml:space="preserve">previously </w:t>
            </w:r>
            <w:r w:rsidR="00BC6402">
              <w:t xml:space="preserve">allocated to contracts to the PPP funding stream.  All of this is contingent on greater clarity about contract budget cuts and the interplay of contracts and the PPP loan. </w:t>
            </w:r>
            <w:r w:rsidR="00D069AE">
              <w:t>One good piece of news: it appears vehicle fuel may be considered a utility for the purposes of the PPP loan, which could mean that this significant transportation program cost is offset.</w:t>
            </w:r>
            <w:bookmarkStart w:id="0" w:name="_GoBack"/>
            <w:bookmarkEnd w:id="0"/>
          </w:p>
        </w:tc>
      </w:tr>
      <w:tr w:rsidR="00B956A7" w:rsidRPr="001E0050" w:rsidTr="00982840">
        <w:trPr>
          <w:trHeight w:val="1295"/>
        </w:trPr>
        <w:tc>
          <w:tcPr>
            <w:tcW w:w="1620" w:type="dxa"/>
            <w:tcBorders>
              <w:top w:val="single" w:sz="4" w:space="0" w:color="auto"/>
              <w:left w:val="single" w:sz="8" w:space="0" w:color="auto"/>
              <w:bottom w:val="single" w:sz="4" w:space="0" w:color="auto"/>
              <w:right w:val="single" w:sz="4" w:space="0" w:color="auto"/>
            </w:tcBorders>
            <w:vAlign w:val="center"/>
          </w:tcPr>
          <w:p w:rsidR="00B956A7" w:rsidRDefault="00B956A7" w:rsidP="009F565B">
            <w:r>
              <w:t>Financial Reports</w:t>
            </w:r>
          </w:p>
          <w:p w:rsidR="00B956A7" w:rsidRDefault="00B956A7" w:rsidP="009F565B">
            <w:r>
              <w:tab/>
              <w:t xml:space="preserve"> </w:t>
            </w:r>
          </w:p>
        </w:tc>
        <w:tc>
          <w:tcPr>
            <w:tcW w:w="12960" w:type="dxa"/>
            <w:gridSpan w:val="2"/>
            <w:tcBorders>
              <w:top w:val="single" w:sz="4" w:space="0" w:color="auto"/>
              <w:left w:val="single" w:sz="4" w:space="0" w:color="auto"/>
              <w:bottom w:val="single" w:sz="4" w:space="0" w:color="auto"/>
            </w:tcBorders>
            <w:vAlign w:val="center"/>
          </w:tcPr>
          <w:p w:rsidR="00B956A7" w:rsidRPr="005B7F51" w:rsidRDefault="00B956A7" w:rsidP="00835CE2">
            <w:pPr>
              <w:spacing w:before="120" w:after="120"/>
              <w:jc w:val="both"/>
            </w:pPr>
            <w:r>
              <w:t>The Committee inspected the Organization’s Financial Reports, including the Grants Receivable Aging Summary, the Statement of Financial Position (Balance Sheet), Statement of Activities (Income Statement) for the agency and transportation program, respectively, and the Statement of Revenues, Supports and Expense</w:t>
            </w:r>
            <w:r w:rsidR="00835CE2">
              <w:t>s, all of which are current to June</w:t>
            </w:r>
            <w:r>
              <w:t xml:space="preserve"> 30, 2020. Additionally, John Ray offered</w:t>
            </w:r>
            <w:r w:rsidR="009F565B">
              <w:t xml:space="preserve"> his “Fiscal Highlights” report.  </w:t>
            </w:r>
          </w:p>
        </w:tc>
      </w:tr>
      <w:tr w:rsidR="00B956A7" w:rsidRPr="001E0050" w:rsidTr="00982840">
        <w:trPr>
          <w:trHeight w:val="413"/>
        </w:trPr>
        <w:tc>
          <w:tcPr>
            <w:tcW w:w="1620" w:type="dxa"/>
            <w:tcBorders>
              <w:top w:val="single" w:sz="4" w:space="0" w:color="auto"/>
              <w:left w:val="single" w:sz="8" w:space="0" w:color="auto"/>
              <w:bottom w:val="single" w:sz="4" w:space="0" w:color="auto"/>
              <w:right w:val="single" w:sz="4" w:space="0" w:color="auto"/>
            </w:tcBorders>
            <w:vAlign w:val="center"/>
          </w:tcPr>
          <w:p w:rsidR="00B956A7" w:rsidRPr="001E0050" w:rsidRDefault="00B956A7" w:rsidP="009F565B">
            <w:pPr>
              <w:jc w:val="both"/>
            </w:pPr>
            <w:r>
              <w:t>Next meeting</w:t>
            </w:r>
          </w:p>
        </w:tc>
        <w:tc>
          <w:tcPr>
            <w:tcW w:w="12960" w:type="dxa"/>
            <w:gridSpan w:val="2"/>
            <w:tcBorders>
              <w:top w:val="single" w:sz="4" w:space="0" w:color="auto"/>
              <w:left w:val="single" w:sz="4" w:space="0" w:color="auto"/>
              <w:bottom w:val="single" w:sz="4" w:space="0" w:color="auto"/>
            </w:tcBorders>
            <w:vAlign w:val="center"/>
          </w:tcPr>
          <w:p w:rsidR="00B956A7" w:rsidRPr="005C1500" w:rsidRDefault="00B956A7" w:rsidP="00F77F36">
            <w:pPr>
              <w:spacing w:before="120" w:after="120"/>
              <w:jc w:val="both"/>
              <w:rPr>
                <w:b/>
              </w:rPr>
            </w:pPr>
            <w:r w:rsidRPr="005C1500">
              <w:rPr>
                <w:b/>
              </w:rPr>
              <w:t xml:space="preserve">Tuesday, </w:t>
            </w:r>
            <w:r w:rsidR="00F77F36">
              <w:rPr>
                <w:b/>
              </w:rPr>
              <w:t>September 22nd</w:t>
            </w:r>
            <w:r>
              <w:rPr>
                <w:b/>
              </w:rPr>
              <w:t xml:space="preserve"> </w:t>
            </w:r>
            <w:r w:rsidRPr="005C1500">
              <w:rPr>
                <w:b/>
              </w:rPr>
              <w:t>at 3:00 p.m.</w:t>
            </w:r>
            <w:r>
              <w:rPr>
                <w:b/>
              </w:rPr>
              <w:t xml:space="preserve">  </w:t>
            </w:r>
            <w:r w:rsidRPr="007453E8">
              <w:rPr>
                <w:b/>
              </w:rPr>
              <w:t>Location TBD</w:t>
            </w:r>
          </w:p>
        </w:tc>
      </w:tr>
    </w:tbl>
    <w:p w:rsidR="00385B16" w:rsidRPr="00990131" w:rsidRDefault="00385B16" w:rsidP="009F565B">
      <w:pPr>
        <w:jc w:val="both"/>
      </w:pPr>
    </w:p>
    <w:sectPr w:rsidR="00385B16" w:rsidRPr="00990131" w:rsidSect="009F565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84" w:rsidRDefault="00BF2184" w:rsidP="00A96EC7">
      <w:r>
        <w:separator/>
      </w:r>
    </w:p>
  </w:endnote>
  <w:endnote w:type="continuationSeparator" w:id="0">
    <w:p w:rsidR="00BF2184" w:rsidRDefault="00BF2184"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84" w:rsidRDefault="00BF2184" w:rsidP="00A96EC7">
      <w:r>
        <w:separator/>
      </w:r>
    </w:p>
  </w:footnote>
  <w:footnote w:type="continuationSeparator" w:id="0">
    <w:p w:rsidR="00BF2184" w:rsidRDefault="00BF2184" w:rsidP="00A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6106B"/>
    <w:multiLevelType w:val="hybridMultilevel"/>
    <w:tmpl w:val="F2BCD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113C5"/>
    <w:multiLevelType w:val="hybridMultilevel"/>
    <w:tmpl w:val="3D62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13"/>
  </w:num>
  <w:num w:numId="6">
    <w:abstractNumId w:val="15"/>
  </w:num>
  <w:num w:numId="7">
    <w:abstractNumId w:val="11"/>
  </w:num>
  <w:num w:numId="8">
    <w:abstractNumId w:val="10"/>
  </w:num>
  <w:num w:numId="9">
    <w:abstractNumId w:val="24"/>
  </w:num>
  <w:num w:numId="10">
    <w:abstractNumId w:val="17"/>
  </w:num>
  <w:num w:numId="11">
    <w:abstractNumId w:val="16"/>
  </w:num>
  <w:num w:numId="12">
    <w:abstractNumId w:val="23"/>
  </w:num>
  <w:num w:numId="13">
    <w:abstractNumId w:val="22"/>
  </w:num>
  <w:num w:numId="14">
    <w:abstractNumId w:val="18"/>
  </w:num>
  <w:num w:numId="15">
    <w:abstractNumId w:val="6"/>
  </w:num>
  <w:num w:numId="16">
    <w:abstractNumId w:val="1"/>
  </w:num>
  <w:num w:numId="17">
    <w:abstractNumId w:val="12"/>
  </w:num>
  <w:num w:numId="18">
    <w:abstractNumId w:val="14"/>
  </w:num>
  <w:num w:numId="19">
    <w:abstractNumId w:val="21"/>
  </w:num>
  <w:num w:numId="20">
    <w:abstractNumId w:val="19"/>
  </w:num>
  <w:num w:numId="21">
    <w:abstractNumId w:val="20"/>
  </w:num>
  <w:num w:numId="22">
    <w:abstractNumId w:val="5"/>
  </w:num>
  <w:num w:numId="23">
    <w:abstractNumId w:val="2"/>
  </w:num>
  <w:num w:numId="24">
    <w:abstractNumId w:val="4"/>
    <w:lvlOverride w:ilvl="0"/>
    <w:lvlOverride w:ilvl="1"/>
    <w:lvlOverride w:ilvl="2"/>
    <w:lvlOverride w:ilvl="3"/>
    <w:lvlOverride w:ilvl="4"/>
    <w:lvlOverride w:ilvl="5"/>
    <w:lvlOverride w:ilvl="6"/>
    <w:lvlOverride w:ilvl="7"/>
    <w:lvlOverride w:ilvl="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2DBA"/>
    <w:rsid w:val="00023E7B"/>
    <w:rsid w:val="0002536C"/>
    <w:rsid w:val="00026EB6"/>
    <w:rsid w:val="00031A09"/>
    <w:rsid w:val="00037A04"/>
    <w:rsid w:val="00062538"/>
    <w:rsid w:val="00064B5F"/>
    <w:rsid w:val="00071F28"/>
    <w:rsid w:val="00081710"/>
    <w:rsid w:val="00082DA3"/>
    <w:rsid w:val="0009460C"/>
    <w:rsid w:val="000963AD"/>
    <w:rsid w:val="00097F59"/>
    <w:rsid w:val="000A2D35"/>
    <w:rsid w:val="000B6DD7"/>
    <w:rsid w:val="000C2104"/>
    <w:rsid w:val="000D6920"/>
    <w:rsid w:val="000E1E5A"/>
    <w:rsid w:val="000F0E3D"/>
    <w:rsid w:val="001110DB"/>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22A6E"/>
    <w:rsid w:val="002413F8"/>
    <w:rsid w:val="00244475"/>
    <w:rsid w:val="00247C27"/>
    <w:rsid w:val="00252DCF"/>
    <w:rsid w:val="0025371D"/>
    <w:rsid w:val="0026754F"/>
    <w:rsid w:val="002901B2"/>
    <w:rsid w:val="002A5029"/>
    <w:rsid w:val="002A5131"/>
    <w:rsid w:val="002B263C"/>
    <w:rsid w:val="002B6DEC"/>
    <w:rsid w:val="002B78E6"/>
    <w:rsid w:val="002C083B"/>
    <w:rsid w:val="002C0B80"/>
    <w:rsid w:val="002C4573"/>
    <w:rsid w:val="002E2F64"/>
    <w:rsid w:val="00303441"/>
    <w:rsid w:val="0030688B"/>
    <w:rsid w:val="00307AF5"/>
    <w:rsid w:val="00342789"/>
    <w:rsid w:val="00350A8C"/>
    <w:rsid w:val="00352709"/>
    <w:rsid w:val="003624D1"/>
    <w:rsid w:val="00384A05"/>
    <w:rsid w:val="00385B16"/>
    <w:rsid w:val="003918B4"/>
    <w:rsid w:val="003A2E4C"/>
    <w:rsid w:val="003D5D2B"/>
    <w:rsid w:val="003E0374"/>
    <w:rsid w:val="003F79C4"/>
    <w:rsid w:val="00412DDD"/>
    <w:rsid w:val="00413C58"/>
    <w:rsid w:val="004159EC"/>
    <w:rsid w:val="00421F8B"/>
    <w:rsid w:val="004722BA"/>
    <w:rsid w:val="00472B51"/>
    <w:rsid w:val="00475C88"/>
    <w:rsid w:val="004760AF"/>
    <w:rsid w:val="004A10B9"/>
    <w:rsid w:val="004C488F"/>
    <w:rsid w:val="004E0E27"/>
    <w:rsid w:val="004E1D4A"/>
    <w:rsid w:val="004E41EF"/>
    <w:rsid w:val="004F7032"/>
    <w:rsid w:val="0050320B"/>
    <w:rsid w:val="00515E81"/>
    <w:rsid w:val="005509C2"/>
    <w:rsid w:val="0055133D"/>
    <w:rsid w:val="00564F43"/>
    <w:rsid w:val="00575593"/>
    <w:rsid w:val="00583F29"/>
    <w:rsid w:val="005A25ED"/>
    <w:rsid w:val="005B073F"/>
    <w:rsid w:val="005B4AC3"/>
    <w:rsid w:val="005B7F51"/>
    <w:rsid w:val="005C1500"/>
    <w:rsid w:val="005C3C63"/>
    <w:rsid w:val="005C6D89"/>
    <w:rsid w:val="005D783D"/>
    <w:rsid w:val="005E61DA"/>
    <w:rsid w:val="005E7D1E"/>
    <w:rsid w:val="005F21DD"/>
    <w:rsid w:val="00601B1D"/>
    <w:rsid w:val="00610D23"/>
    <w:rsid w:val="0061327C"/>
    <w:rsid w:val="0062335B"/>
    <w:rsid w:val="00646DDE"/>
    <w:rsid w:val="006472C0"/>
    <w:rsid w:val="0066211B"/>
    <w:rsid w:val="006764D2"/>
    <w:rsid w:val="00690525"/>
    <w:rsid w:val="006B0651"/>
    <w:rsid w:val="006C5404"/>
    <w:rsid w:val="006C59E1"/>
    <w:rsid w:val="006C7D2A"/>
    <w:rsid w:val="006D2900"/>
    <w:rsid w:val="006D2E29"/>
    <w:rsid w:val="006D5967"/>
    <w:rsid w:val="006E7DAB"/>
    <w:rsid w:val="006F5559"/>
    <w:rsid w:val="0070203E"/>
    <w:rsid w:val="007130EC"/>
    <w:rsid w:val="00733162"/>
    <w:rsid w:val="00742E9B"/>
    <w:rsid w:val="007432A5"/>
    <w:rsid w:val="007453E8"/>
    <w:rsid w:val="00746F3D"/>
    <w:rsid w:val="00752B9A"/>
    <w:rsid w:val="00796B31"/>
    <w:rsid w:val="007978F1"/>
    <w:rsid w:val="007D1B36"/>
    <w:rsid w:val="007D77E8"/>
    <w:rsid w:val="007E15C2"/>
    <w:rsid w:val="007E43C8"/>
    <w:rsid w:val="007F6823"/>
    <w:rsid w:val="00810247"/>
    <w:rsid w:val="00820CBF"/>
    <w:rsid w:val="00835CE2"/>
    <w:rsid w:val="00843353"/>
    <w:rsid w:val="00847547"/>
    <w:rsid w:val="00855300"/>
    <w:rsid w:val="008630E4"/>
    <w:rsid w:val="008700A0"/>
    <w:rsid w:val="0088470F"/>
    <w:rsid w:val="0088542F"/>
    <w:rsid w:val="00894980"/>
    <w:rsid w:val="008A2296"/>
    <w:rsid w:val="008B76AC"/>
    <w:rsid w:val="008C0136"/>
    <w:rsid w:val="008C4914"/>
    <w:rsid w:val="008C496F"/>
    <w:rsid w:val="008D1778"/>
    <w:rsid w:val="008D54E4"/>
    <w:rsid w:val="008E4A13"/>
    <w:rsid w:val="008F4187"/>
    <w:rsid w:val="009115A7"/>
    <w:rsid w:val="0091350F"/>
    <w:rsid w:val="0091567E"/>
    <w:rsid w:val="00921C0E"/>
    <w:rsid w:val="009232D6"/>
    <w:rsid w:val="009333B2"/>
    <w:rsid w:val="00941F5A"/>
    <w:rsid w:val="00943D31"/>
    <w:rsid w:val="00971B37"/>
    <w:rsid w:val="00982840"/>
    <w:rsid w:val="00990131"/>
    <w:rsid w:val="00990FBF"/>
    <w:rsid w:val="009C2995"/>
    <w:rsid w:val="009C4F61"/>
    <w:rsid w:val="009C541E"/>
    <w:rsid w:val="009D18D2"/>
    <w:rsid w:val="009E5527"/>
    <w:rsid w:val="009E7D9C"/>
    <w:rsid w:val="009F565B"/>
    <w:rsid w:val="00A02AD5"/>
    <w:rsid w:val="00A03133"/>
    <w:rsid w:val="00A13EF2"/>
    <w:rsid w:val="00A176E2"/>
    <w:rsid w:val="00A17DE4"/>
    <w:rsid w:val="00A2698A"/>
    <w:rsid w:val="00A31D3D"/>
    <w:rsid w:val="00A41C86"/>
    <w:rsid w:val="00A42B94"/>
    <w:rsid w:val="00A47703"/>
    <w:rsid w:val="00A512A1"/>
    <w:rsid w:val="00A56E15"/>
    <w:rsid w:val="00A7348F"/>
    <w:rsid w:val="00A737CC"/>
    <w:rsid w:val="00A806B4"/>
    <w:rsid w:val="00A82A4A"/>
    <w:rsid w:val="00A96EC7"/>
    <w:rsid w:val="00AA4696"/>
    <w:rsid w:val="00AE39BD"/>
    <w:rsid w:val="00AF0735"/>
    <w:rsid w:val="00AF3247"/>
    <w:rsid w:val="00AF5F37"/>
    <w:rsid w:val="00AF728C"/>
    <w:rsid w:val="00B070AB"/>
    <w:rsid w:val="00B13FB5"/>
    <w:rsid w:val="00B241BE"/>
    <w:rsid w:val="00B44232"/>
    <w:rsid w:val="00B50F4B"/>
    <w:rsid w:val="00B568C6"/>
    <w:rsid w:val="00B57C39"/>
    <w:rsid w:val="00B60BAB"/>
    <w:rsid w:val="00B71B2B"/>
    <w:rsid w:val="00B75C3E"/>
    <w:rsid w:val="00B816D9"/>
    <w:rsid w:val="00B93F06"/>
    <w:rsid w:val="00B94A16"/>
    <w:rsid w:val="00B956A7"/>
    <w:rsid w:val="00B9717B"/>
    <w:rsid w:val="00BC050C"/>
    <w:rsid w:val="00BC6402"/>
    <w:rsid w:val="00BE2FC7"/>
    <w:rsid w:val="00BE50D6"/>
    <w:rsid w:val="00BE521E"/>
    <w:rsid w:val="00BE76E2"/>
    <w:rsid w:val="00BF2184"/>
    <w:rsid w:val="00C14518"/>
    <w:rsid w:val="00C27C64"/>
    <w:rsid w:val="00C30993"/>
    <w:rsid w:val="00C31650"/>
    <w:rsid w:val="00C50DA8"/>
    <w:rsid w:val="00C80430"/>
    <w:rsid w:val="00C827EF"/>
    <w:rsid w:val="00C95C54"/>
    <w:rsid w:val="00CA7BEE"/>
    <w:rsid w:val="00CB60CB"/>
    <w:rsid w:val="00CC293F"/>
    <w:rsid w:val="00CC41D1"/>
    <w:rsid w:val="00CE1DBC"/>
    <w:rsid w:val="00CE644A"/>
    <w:rsid w:val="00D01490"/>
    <w:rsid w:val="00D069AE"/>
    <w:rsid w:val="00D12FA2"/>
    <w:rsid w:val="00D13E2B"/>
    <w:rsid w:val="00D14318"/>
    <w:rsid w:val="00D1521A"/>
    <w:rsid w:val="00D15530"/>
    <w:rsid w:val="00D2044F"/>
    <w:rsid w:val="00D46062"/>
    <w:rsid w:val="00D70608"/>
    <w:rsid w:val="00D81200"/>
    <w:rsid w:val="00D81AA6"/>
    <w:rsid w:val="00D94F56"/>
    <w:rsid w:val="00D96FF1"/>
    <w:rsid w:val="00DA2F4A"/>
    <w:rsid w:val="00DA6950"/>
    <w:rsid w:val="00DB62FF"/>
    <w:rsid w:val="00DD6CB2"/>
    <w:rsid w:val="00E40D99"/>
    <w:rsid w:val="00E455C8"/>
    <w:rsid w:val="00E722FC"/>
    <w:rsid w:val="00E81E94"/>
    <w:rsid w:val="00E91034"/>
    <w:rsid w:val="00E917BE"/>
    <w:rsid w:val="00EA0224"/>
    <w:rsid w:val="00EB0D94"/>
    <w:rsid w:val="00EB380D"/>
    <w:rsid w:val="00EB6FD4"/>
    <w:rsid w:val="00EC3403"/>
    <w:rsid w:val="00EC75A2"/>
    <w:rsid w:val="00ED4A58"/>
    <w:rsid w:val="00ED70B1"/>
    <w:rsid w:val="00ED7160"/>
    <w:rsid w:val="00EF357D"/>
    <w:rsid w:val="00F007AD"/>
    <w:rsid w:val="00F01099"/>
    <w:rsid w:val="00F10E81"/>
    <w:rsid w:val="00F20BC1"/>
    <w:rsid w:val="00F21962"/>
    <w:rsid w:val="00F43C7F"/>
    <w:rsid w:val="00F5638E"/>
    <w:rsid w:val="00F63E94"/>
    <w:rsid w:val="00F64AE7"/>
    <w:rsid w:val="00F744A2"/>
    <w:rsid w:val="00F77F36"/>
    <w:rsid w:val="00F8148F"/>
    <w:rsid w:val="00F84306"/>
    <w:rsid w:val="00FA118E"/>
    <w:rsid w:val="00FA1CEE"/>
    <w:rsid w:val="00FA6B27"/>
    <w:rsid w:val="00FB7AFF"/>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FAFA"/>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094471894">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E6050-BD2A-46F5-BD24-AAF1387E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Claire Parde</cp:lastModifiedBy>
  <cp:revision>2</cp:revision>
  <dcterms:created xsi:type="dcterms:W3CDTF">2020-07-29T19:45:00Z</dcterms:created>
  <dcterms:modified xsi:type="dcterms:W3CDTF">2020-07-29T19:45:00Z</dcterms:modified>
</cp:coreProperties>
</file>