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90"/>
        <w:gridCol w:w="4050"/>
      </w:tblGrid>
      <w:tr w:rsidR="006D2E29" w:rsidRPr="001E0050" w:rsidTr="00482802">
        <w:tc>
          <w:tcPr>
            <w:tcW w:w="10530"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50" w:type="dxa"/>
          </w:tcPr>
          <w:p w:rsidR="0055133D" w:rsidRPr="001E0050" w:rsidRDefault="006D2E29" w:rsidP="00453765">
            <w:pPr>
              <w:jc w:val="both"/>
              <w:rPr>
                <w:b/>
              </w:rPr>
            </w:pPr>
            <w:r w:rsidRPr="001E0050">
              <w:rPr>
                <w:b/>
              </w:rPr>
              <w:t xml:space="preserve">Date:   </w:t>
            </w:r>
            <w:r w:rsidR="00482802">
              <w:rPr>
                <w:b/>
              </w:rPr>
              <w:t xml:space="preserve">  </w:t>
            </w:r>
            <w:r w:rsidR="00453765">
              <w:rPr>
                <w:b/>
              </w:rPr>
              <w:t>January 26, 2021</w:t>
            </w:r>
          </w:p>
        </w:tc>
      </w:tr>
      <w:tr w:rsidR="00D81AA6" w:rsidRPr="001E0050" w:rsidTr="00482802">
        <w:trPr>
          <w:trHeight w:val="275"/>
        </w:trPr>
        <w:tc>
          <w:tcPr>
            <w:tcW w:w="10530" w:type="dxa"/>
            <w:gridSpan w:val="2"/>
            <w:vMerge w:val="restart"/>
            <w:vAlign w:val="center"/>
          </w:tcPr>
          <w:p w:rsidR="009F565B"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F209EB">
              <w:rPr>
                <w:b/>
              </w:rPr>
              <w:t xml:space="preserve">Kevin McDonald, and </w:t>
            </w:r>
            <w:r w:rsidR="00467110">
              <w:rPr>
                <w:b/>
              </w:rPr>
              <w:t>Ken Stall</w:t>
            </w:r>
          </w:p>
          <w:p w:rsidR="001A7704" w:rsidRDefault="00482802" w:rsidP="00467110">
            <w:pPr>
              <w:jc w:val="both"/>
              <w:rPr>
                <w:b/>
              </w:rPr>
            </w:pPr>
            <w:r>
              <w:rPr>
                <w:b/>
              </w:rPr>
              <w:t>Board</w:t>
            </w:r>
            <w:r w:rsidR="00467110">
              <w:rPr>
                <w:b/>
              </w:rPr>
              <w:t xml:space="preserve"> Members </w:t>
            </w:r>
            <w:r>
              <w:rPr>
                <w:b/>
              </w:rPr>
              <w:t>Excused</w:t>
            </w:r>
            <w:r w:rsidR="00D81AA6" w:rsidRPr="001E0050">
              <w:rPr>
                <w:b/>
              </w:rPr>
              <w:t xml:space="preserve">:  </w:t>
            </w:r>
            <w:r>
              <w:rPr>
                <w:b/>
              </w:rPr>
              <w:t xml:space="preserve">     </w:t>
            </w:r>
            <w:r w:rsidR="00453765">
              <w:rPr>
                <w:b/>
              </w:rPr>
              <w:t xml:space="preserve">Bob Gibson, PJ Keeler, and </w:t>
            </w:r>
            <w:r w:rsidR="00467110">
              <w:rPr>
                <w:b/>
              </w:rPr>
              <w:t>Casey O’Brien</w:t>
            </w:r>
          </w:p>
          <w:p w:rsidR="00467110" w:rsidRPr="001E0050" w:rsidRDefault="00467110" w:rsidP="00467110">
            <w:pPr>
              <w:jc w:val="both"/>
            </w:pPr>
          </w:p>
        </w:tc>
        <w:tc>
          <w:tcPr>
            <w:tcW w:w="4050"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482802">
        <w:trPr>
          <w:trHeight w:val="296"/>
        </w:trPr>
        <w:tc>
          <w:tcPr>
            <w:tcW w:w="10530" w:type="dxa"/>
            <w:gridSpan w:val="2"/>
            <w:vMerge/>
          </w:tcPr>
          <w:p w:rsidR="00D81AA6" w:rsidRPr="001E0050" w:rsidRDefault="00D81AA6" w:rsidP="009F565B">
            <w:pPr>
              <w:jc w:val="both"/>
              <w:rPr>
                <w:b/>
              </w:rPr>
            </w:pPr>
          </w:p>
        </w:tc>
        <w:tc>
          <w:tcPr>
            <w:tcW w:w="4050"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482802">
        <w:trPr>
          <w:trHeight w:val="345"/>
        </w:trPr>
        <w:tc>
          <w:tcPr>
            <w:tcW w:w="144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14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482802">
        <w:trPr>
          <w:trHeight w:val="1520"/>
        </w:trPr>
        <w:tc>
          <w:tcPr>
            <w:tcW w:w="1440" w:type="dxa"/>
            <w:tcBorders>
              <w:top w:val="single" w:sz="4" w:space="0" w:color="auto"/>
              <w:left w:val="single" w:sz="8" w:space="0" w:color="auto"/>
              <w:bottom w:val="single" w:sz="4" w:space="0" w:color="auto"/>
              <w:right w:val="single" w:sz="4" w:space="0" w:color="auto"/>
            </w:tcBorders>
            <w:vAlign w:val="center"/>
          </w:tcPr>
          <w:p w:rsidR="000E1E5A" w:rsidRDefault="00C30993" w:rsidP="008B6984">
            <w:r>
              <w:t xml:space="preserve">Update </w:t>
            </w:r>
            <w:r w:rsidR="00482802">
              <w:t>on</w:t>
            </w:r>
            <w:r w:rsidR="00F209EB">
              <w:t xml:space="preserve"> </w:t>
            </w:r>
            <w:r w:rsidR="008B6984">
              <w:t>the investment account</w:t>
            </w:r>
            <w:r w:rsidR="00453765">
              <w:t xml:space="preserve"> and Discussion about Excess Cash</w:t>
            </w:r>
          </w:p>
        </w:tc>
        <w:tc>
          <w:tcPr>
            <w:tcW w:w="13140" w:type="dxa"/>
            <w:gridSpan w:val="2"/>
            <w:tcBorders>
              <w:top w:val="single" w:sz="4" w:space="0" w:color="auto"/>
              <w:left w:val="single" w:sz="4" w:space="0" w:color="auto"/>
              <w:bottom w:val="single" w:sz="4" w:space="0" w:color="auto"/>
            </w:tcBorders>
            <w:vAlign w:val="center"/>
          </w:tcPr>
          <w:p w:rsidR="00453765" w:rsidRDefault="00E722FC" w:rsidP="00453765">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 and </w:t>
            </w:r>
            <w:r w:rsidR="00482802">
              <w:t>its</w:t>
            </w:r>
            <w:r w:rsidR="00B93F06">
              <w:t xml:space="preserve"> 401(k) profit-sharing account</w:t>
            </w:r>
            <w:r w:rsidR="00CC41D1">
              <w:t>, provide</w:t>
            </w:r>
            <w:r w:rsidR="00835CE2">
              <w:t>d</w:t>
            </w:r>
            <w:r w:rsidR="00CC41D1">
              <w:t xml:space="preserve"> an update to the Committee.  </w:t>
            </w:r>
            <w:r w:rsidR="00F209EB">
              <w:t xml:space="preserve">With regard to the </w:t>
            </w:r>
            <w:r w:rsidR="008B6984">
              <w:t>Fund</w:t>
            </w:r>
            <w:r w:rsidR="00F209EB">
              <w:t xml:space="preserve">, TJ </w:t>
            </w:r>
            <w:r w:rsidR="00453765">
              <w:t xml:space="preserve">reported that its growth was 11.03 points for the calendar year and 11.64 points since its inception. </w:t>
            </w:r>
            <w:r w:rsidR="00BD57CE">
              <w:t xml:space="preserve">TJ indicated </w:t>
            </w:r>
            <w:r w:rsidR="00453765">
              <w:t xml:space="preserve">that he will be making some adjustments to the portfolio to maximize low-cost funds. As a fee-based account, there are no fees when trades are made. </w:t>
            </w:r>
          </w:p>
          <w:p w:rsidR="00453765" w:rsidRDefault="00453765" w:rsidP="00453765">
            <w:pPr>
              <w:spacing w:before="120" w:after="120"/>
              <w:jc w:val="both"/>
            </w:pPr>
          </w:p>
          <w:p w:rsidR="00894980" w:rsidRPr="003A2E4C" w:rsidRDefault="00453765" w:rsidP="00BD57CE">
            <w:pPr>
              <w:spacing w:before="120" w:after="120"/>
              <w:jc w:val="both"/>
              <w:rPr>
                <w:b/>
              </w:rPr>
            </w:pPr>
            <w:r>
              <w:t xml:space="preserve">The Committee discussed its options with regard to excess cash. Currently, </w:t>
            </w:r>
            <w:r w:rsidR="008B6984">
              <w:t>there are</w:t>
            </w:r>
            <w:r>
              <w:t xml:space="preserve"> approximately $150,000 in the agency’s op</w:t>
            </w:r>
            <w:r w:rsidR="008B6984">
              <w:t>erating (checking) account that we expect will not be needed</w:t>
            </w:r>
            <w:r>
              <w:t xml:space="preserve"> in the next 12 months. TJ was asked to provide some options to the Committee about how to manage </w:t>
            </w:r>
            <w:r w:rsidR="008B6984">
              <w:t xml:space="preserve">this.  TJ </w:t>
            </w:r>
            <w:r w:rsidR="00BD57CE">
              <w:t>noted</w:t>
            </w:r>
            <w:r w:rsidR="008B6984">
              <w:t xml:space="preserve"> that, as per </w:t>
            </w:r>
            <w:r>
              <w:t>the current Investmen</w:t>
            </w:r>
            <w:r w:rsidR="008B6984">
              <w:t xml:space="preserve">t Policy Statement, the Fund is heavily weighted to equities versus fixed income products, making it an inappropriate </w:t>
            </w:r>
            <w:r w:rsidR="00BD57CE">
              <w:t>home for</w:t>
            </w:r>
            <w:r w:rsidR="008B6984">
              <w:t xml:space="preserve"> funds that must remain whole and relatively liquid.  In short, if the agency is not confident that it can relinquish these funds for a 2-5 year timeframe and sustain a loss in the interim, the Fund as currently structured is too volatile and risky.  Options include changing the Investment Policy Statement to allow the Fund to become more heavily weighted to bonds and fixed income products, or creating an entirely separate investment vehicle governed by a different policy.  Money market accounts were also discussed but dismissed because we may be entering a negative interest rate environment.  After some discussion, during which the uncertainty regarding PPP loan forgiveness</w:t>
            </w:r>
            <w:r w:rsidR="00BD57CE">
              <w:t xml:space="preserve">, </w:t>
            </w:r>
            <w:r w:rsidR="008B6984">
              <w:t>Medicaid and State contract revenue</w:t>
            </w:r>
            <w:r w:rsidR="00BD57CE">
              <w:t>, and a federal stimulus package were</w:t>
            </w:r>
            <w:r w:rsidR="008B6984">
              <w:t xml:space="preserve"> considered, the Committee decided to table making any decision about </w:t>
            </w:r>
            <w:r w:rsidR="00BD57CE">
              <w:t xml:space="preserve">moving excess cash at this time. </w:t>
            </w:r>
          </w:p>
        </w:tc>
      </w:tr>
      <w:tr w:rsidR="00F209EB" w:rsidRPr="001E0050" w:rsidTr="00482802">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09EB" w:rsidRDefault="00F209EB" w:rsidP="00F209EB">
            <w:r>
              <w:t>Financial Reports</w:t>
            </w:r>
          </w:p>
          <w:p w:rsidR="00F209EB" w:rsidRDefault="00F209EB" w:rsidP="00F209EB">
            <w:r>
              <w:tab/>
              <w:t xml:space="preserve"> </w:t>
            </w:r>
          </w:p>
        </w:tc>
        <w:tc>
          <w:tcPr>
            <w:tcW w:w="13140" w:type="dxa"/>
            <w:gridSpan w:val="2"/>
            <w:tcBorders>
              <w:top w:val="single" w:sz="4" w:space="0" w:color="auto"/>
              <w:left w:val="single" w:sz="4" w:space="0" w:color="auto"/>
              <w:bottom w:val="single" w:sz="4" w:space="0" w:color="auto"/>
            </w:tcBorders>
            <w:vAlign w:val="center"/>
          </w:tcPr>
          <w:p w:rsidR="00F209EB" w:rsidRPr="005B7F51" w:rsidRDefault="00F209EB" w:rsidP="00BD57CE">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BD57CE">
              <w:t>December</w:t>
            </w:r>
            <w:r>
              <w:t xml:space="preserve"> 31, 2020. Additionally, John Ray offered his “Fiscal Highlights” report.  </w:t>
            </w:r>
          </w:p>
        </w:tc>
      </w:tr>
      <w:tr w:rsidR="00F209EB" w:rsidRPr="001E0050" w:rsidTr="00482802">
        <w:trPr>
          <w:trHeight w:val="413"/>
        </w:trPr>
        <w:tc>
          <w:tcPr>
            <w:tcW w:w="1440" w:type="dxa"/>
            <w:tcBorders>
              <w:top w:val="single" w:sz="4" w:space="0" w:color="auto"/>
              <w:left w:val="single" w:sz="8" w:space="0" w:color="auto"/>
              <w:bottom w:val="single" w:sz="4" w:space="0" w:color="auto"/>
              <w:right w:val="single" w:sz="4" w:space="0" w:color="auto"/>
            </w:tcBorders>
            <w:vAlign w:val="center"/>
          </w:tcPr>
          <w:p w:rsidR="00F209EB" w:rsidRPr="001E0050" w:rsidRDefault="00F209EB" w:rsidP="00F209EB">
            <w:pPr>
              <w:jc w:val="both"/>
            </w:pPr>
            <w:r>
              <w:t>Next meeting</w:t>
            </w:r>
          </w:p>
        </w:tc>
        <w:tc>
          <w:tcPr>
            <w:tcW w:w="13140" w:type="dxa"/>
            <w:gridSpan w:val="2"/>
            <w:tcBorders>
              <w:top w:val="single" w:sz="4" w:space="0" w:color="auto"/>
              <w:left w:val="single" w:sz="4" w:space="0" w:color="auto"/>
              <w:bottom w:val="single" w:sz="4" w:space="0" w:color="auto"/>
            </w:tcBorders>
            <w:vAlign w:val="center"/>
          </w:tcPr>
          <w:p w:rsidR="00F209EB" w:rsidRPr="005C1500" w:rsidRDefault="00482802" w:rsidP="00DC3DEA">
            <w:pPr>
              <w:spacing w:before="120" w:after="120"/>
              <w:jc w:val="both"/>
              <w:rPr>
                <w:b/>
              </w:rPr>
            </w:pPr>
            <w:r>
              <w:rPr>
                <w:b/>
              </w:rPr>
              <w:t xml:space="preserve">Date, Time &amp; Location:  </w:t>
            </w:r>
            <w:r w:rsidR="00F209EB" w:rsidRPr="005C1500">
              <w:rPr>
                <w:b/>
              </w:rPr>
              <w:t xml:space="preserve">Tuesday, </w:t>
            </w:r>
            <w:r w:rsidR="00BD57CE">
              <w:rPr>
                <w:b/>
              </w:rPr>
              <w:t>March 23</w:t>
            </w:r>
            <w:r w:rsidR="00F209EB">
              <w:rPr>
                <w:b/>
              </w:rPr>
              <w:t>, 202</w:t>
            </w:r>
            <w:r w:rsidR="00DC3DEA">
              <w:rPr>
                <w:b/>
              </w:rPr>
              <w:t>1</w:t>
            </w:r>
            <w:bookmarkStart w:id="0" w:name="_GoBack"/>
            <w:bookmarkEnd w:id="0"/>
            <w:r w:rsidR="00F209EB">
              <w:rPr>
                <w:b/>
              </w:rPr>
              <w:t xml:space="preserve"> </w:t>
            </w:r>
            <w:r w:rsidR="00F209EB" w:rsidRPr="005C1500">
              <w:rPr>
                <w:b/>
              </w:rPr>
              <w:t>at 3:00 p.m.</w:t>
            </w:r>
            <w:r>
              <w:rPr>
                <w:b/>
              </w:rPr>
              <w:t xml:space="preserve"> </w:t>
            </w:r>
            <w:r w:rsidR="00F209EB">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39D3"/>
    <w:rsid w:val="00244475"/>
    <w:rsid w:val="00247C27"/>
    <w:rsid w:val="00252DCF"/>
    <w:rsid w:val="0025371D"/>
    <w:rsid w:val="002620DF"/>
    <w:rsid w:val="00263074"/>
    <w:rsid w:val="0026754F"/>
    <w:rsid w:val="002901B2"/>
    <w:rsid w:val="002A1577"/>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72BD2"/>
    <w:rsid w:val="00384A05"/>
    <w:rsid w:val="00385B16"/>
    <w:rsid w:val="003918B4"/>
    <w:rsid w:val="003A2E4C"/>
    <w:rsid w:val="003D5D2B"/>
    <w:rsid w:val="003E0374"/>
    <w:rsid w:val="003F79C4"/>
    <w:rsid w:val="00412DDD"/>
    <w:rsid w:val="00413C58"/>
    <w:rsid w:val="004159EC"/>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6584"/>
    <w:rsid w:val="005509C2"/>
    <w:rsid w:val="0055133D"/>
    <w:rsid w:val="00564F43"/>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6211B"/>
    <w:rsid w:val="006764D2"/>
    <w:rsid w:val="00690525"/>
    <w:rsid w:val="00694DA0"/>
    <w:rsid w:val="006B0651"/>
    <w:rsid w:val="006C5404"/>
    <w:rsid w:val="006C59E1"/>
    <w:rsid w:val="006C7D2A"/>
    <w:rsid w:val="006D2900"/>
    <w:rsid w:val="006D2E29"/>
    <w:rsid w:val="006D5967"/>
    <w:rsid w:val="006E7DAB"/>
    <w:rsid w:val="006F4454"/>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070AB"/>
    <w:rsid w:val="00B13FB5"/>
    <w:rsid w:val="00B241BE"/>
    <w:rsid w:val="00B44232"/>
    <w:rsid w:val="00B50F4B"/>
    <w:rsid w:val="00B568C6"/>
    <w:rsid w:val="00B57C39"/>
    <w:rsid w:val="00B60BAB"/>
    <w:rsid w:val="00B71B2B"/>
    <w:rsid w:val="00B75C3E"/>
    <w:rsid w:val="00B816D9"/>
    <w:rsid w:val="00B93F06"/>
    <w:rsid w:val="00B94A16"/>
    <w:rsid w:val="00B956A7"/>
    <w:rsid w:val="00B9717B"/>
    <w:rsid w:val="00BC050C"/>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C3DEA"/>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43C7F"/>
    <w:rsid w:val="00F5638E"/>
    <w:rsid w:val="00F63E94"/>
    <w:rsid w:val="00F64AE7"/>
    <w:rsid w:val="00F744A2"/>
    <w:rsid w:val="00F77F36"/>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BE0F"/>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BC56-D8CB-4C13-92C6-D43F5384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4</cp:revision>
  <dcterms:created xsi:type="dcterms:W3CDTF">2021-01-27T16:09:00Z</dcterms:created>
  <dcterms:modified xsi:type="dcterms:W3CDTF">2021-03-26T13:39:00Z</dcterms:modified>
</cp:coreProperties>
</file>