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bookmarkStart w:id="0" w:name="_GoBack"/>
      <w:bookmarkEnd w:id="0"/>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A51BBF">
            <w:pPr>
              <w:jc w:val="both"/>
              <w:rPr>
                <w:b/>
              </w:rPr>
            </w:pPr>
            <w:r w:rsidRPr="001E0050">
              <w:rPr>
                <w:b/>
              </w:rPr>
              <w:t xml:space="preserve">Date:  </w:t>
            </w:r>
            <w:r w:rsidR="00A51BBF">
              <w:rPr>
                <w:b/>
              </w:rPr>
              <w:t>March 22</w:t>
            </w:r>
            <w:r w:rsidR="003E12FA">
              <w:rPr>
                <w:b/>
              </w:rPr>
              <w:t>, 2022</w:t>
            </w:r>
          </w:p>
        </w:tc>
      </w:tr>
      <w:tr w:rsidR="00D81AA6" w:rsidRPr="001E0050" w:rsidTr="00655166">
        <w:trPr>
          <w:trHeight w:val="275"/>
        </w:trPr>
        <w:tc>
          <w:tcPr>
            <w:tcW w:w="10552" w:type="dxa"/>
            <w:gridSpan w:val="2"/>
            <w:vMerge w:val="restart"/>
            <w:vAlign w:val="center"/>
          </w:tcPr>
          <w:p w:rsidR="00A51BBF" w:rsidRDefault="00482802" w:rsidP="00A51BBF">
            <w:pPr>
              <w:spacing w:before="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A51BBF">
              <w:rPr>
                <w:b/>
              </w:rPr>
              <w:t xml:space="preserve">Casey O’Brien </w:t>
            </w:r>
          </w:p>
          <w:p w:rsidR="009F565B" w:rsidRDefault="009F565B" w:rsidP="00A51BBF">
            <w:pPr>
              <w:jc w:val="both"/>
              <w:rPr>
                <w:b/>
              </w:rPr>
            </w:pPr>
          </w:p>
          <w:p w:rsidR="00A51BBF" w:rsidRDefault="00482802" w:rsidP="00A51BBF">
            <w:pPr>
              <w:jc w:val="both"/>
              <w:rPr>
                <w:b/>
              </w:rPr>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A51BBF">
              <w:rPr>
                <w:b/>
              </w:rPr>
              <w:t>PJ Keeler, Ken Stall, and Kevin McDonald</w:t>
            </w:r>
          </w:p>
          <w:p w:rsidR="00467110" w:rsidRPr="001E0050" w:rsidRDefault="00467110" w:rsidP="00A51BBF">
            <w:pPr>
              <w:spacing w:before="120"/>
              <w:jc w:val="both"/>
            </w:pPr>
          </w:p>
        </w:tc>
        <w:tc>
          <w:tcPr>
            <w:tcW w:w="4028"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55166">
        <w:trPr>
          <w:trHeight w:val="296"/>
        </w:trPr>
        <w:tc>
          <w:tcPr>
            <w:tcW w:w="10552" w:type="dxa"/>
            <w:gridSpan w:val="2"/>
            <w:vMerge/>
          </w:tcPr>
          <w:p w:rsidR="00D81AA6" w:rsidRPr="001E0050" w:rsidRDefault="00D81AA6" w:rsidP="009F565B">
            <w:pPr>
              <w:jc w:val="both"/>
              <w:rPr>
                <w:b/>
              </w:rPr>
            </w:pPr>
          </w:p>
        </w:tc>
        <w:tc>
          <w:tcPr>
            <w:tcW w:w="4028"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AB137D">
        <w:trPr>
          <w:trHeight w:val="782"/>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AB137D">
            <w:r>
              <w:t xml:space="preserve">Update </w:t>
            </w:r>
            <w:r w:rsidR="00482802">
              <w:t>on</w:t>
            </w:r>
            <w:r w:rsidR="00F209EB">
              <w:t xml:space="preserve"> </w:t>
            </w:r>
            <w:r w:rsidR="008B6984">
              <w:t>investment</w:t>
            </w:r>
            <w:r w:rsidR="00660DF6">
              <w:t xml:space="preserve"> account and addition of new monies</w:t>
            </w:r>
          </w:p>
        </w:tc>
        <w:tc>
          <w:tcPr>
            <w:tcW w:w="13044" w:type="dxa"/>
            <w:gridSpan w:val="2"/>
            <w:tcBorders>
              <w:top w:val="single" w:sz="4" w:space="0" w:color="auto"/>
              <w:left w:val="single" w:sz="4" w:space="0" w:color="auto"/>
              <w:bottom w:val="single" w:sz="4" w:space="0" w:color="auto"/>
            </w:tcBorders>
            <w:vAlign w:val="center"/>
          </w:tcPr>
          <w:p w:rsidR="00CE1241" w:rsidRDefault="00E722FC" w:rsidP="00CE1241">
            <w:pPr>
              <w:spacing w:before="120" w:after="120"/>
              <w:jc w:val="both"/>
            </w:pPr>
            <w:r>
              <w:t>TJ Pellitter</w:t>
            </w:r>
            <w:r w:rsidR="00CC41D1">
              <w:t xml:space="preserve">i, the </w:t>
            </w:r>
            <w:r w:rsidR="00C30993">
              <w:t>manager of</w:t>
            </w:r>
            <w:r w:rsidR="00CC41D1">
              <w:t xml:space="preserve"> the agency’s </w:t>
            </w:r>
            <w:r w:rsidR="00C30993">
              <w:t>investment</w:t>
            </w:r>
            <w:r w:rsidR="00B93F06">
              <w:t xml:space="preserve"> account (“the Fund”)</w:t>
            </w:r>
            <w:r w:rsidR="00CC41D1">
              <w:t>, provide</w:t>
            </w:r>
            <w:r w:rsidR="00835CE2">
              <w:t>d</w:t>
            </w:r>
            <w:r w:rsidR="00CC41D1">
              <w:t xml:space="preserve"> an update to the Committee.  </w:t>
            </w:r>
            <w:r w:rsidR="00CE1241">
              <w:t xml:space="preserve">He noted that the market just had its best week since November.  He also noted the recent .25% interest rate increase and the 6 more rate adjustments that are expected in 2022 to address inflation. TJ also noted that he has been providing information, as requested, to our auditing firm, Bonadio. </w:t>
            </w:r>
          </w:p>
          <w:p w:rsidR="00CE1241" w:rsidRPr="003A2E4C" w:rsidRDefault="00CE1241" w:rsidP="00CE1241">
            <w:pPr>
              <w:spacing w:before="120" w:after="120"/>
              <w:jc w:val="both"/>
              <w:rPr>
                <w:b/>
              </w:rPr>
            </w:pPr>
            <w:r>
              <w:t xml:space="preserve">Claire advised TJ that the Committee had previously approved the addition of $100,000 of excess cash to the investment account.  TJ encouraged her to cut and deliver that check to them, as this is a great time to buy.  </w:t>
            </w:r>
          </w:p>
        </w:tc>
      </w:tr>
      <w:tr w:rsidR="00F209EB" w:rsidRPr="001E0050" w:rsidTr="00420127">
        <w:trPr>
          <w:trHeight w:val="1052"/>
        </w:trPr>
        <w:tc>
          <w:tcPr>
            <w:tcW w:w="1536" w:type="dxa"/>
            <w:tcBorders>
              <w:top w:val="single" w:sz="4" w:space="0" w:color="auto"/>
              <w:left w:val="single" w:sz="8" w:space="0" w:color="auto"/>
              <w:bottom w:val="single" w:sz="4" w:space="0" w:color="auto"/>
              <w:right w:val="single" w:sz="4" w:space="0" w:color="auto"/>
            </w:tcBorders>
            <w:vAlign w:val="center"/>
          </w:tcPr>
          <w:p w:rsidR="003E12FA" w:rsidRDefault="00660DF6" w:rsidP="003E12FA">
            <w:r>
              <w:t>Update on loan to NYSARH</w:t>
            </w:r>
          </w:p>
          <w:p w:rsidR="00F209EB" w:rsidRDefault="00F209EB" w:rsidP="003E12FA"/>
        </w:tc>
        <w:tc>
          <w:tcPr>
            <w:tcW w:w="13044" w:type="dxa"/>
            <w:gridSpan w:val="2"/>
            <w:tcBorders>
              <w:top w:val="single" w:sz="4" w:space="0" w:color="auto"/>
              <w:left w:val="single" w:sz="4" w:space="0" w:color="auto"/>
              <w:bottom w:val="single" w:sz="4" w:space="0" w:color="auto"/>
            </w:tcBorders>
            <w:vAlign w:val="center"/>
          </w:tcPr>
          <w:p w:rsidR="00F209EB" w:rsidRPr="005B7F51" w:rsidRDefault="00953D51" w:rsidP="00660DF6">
            <w:pPr>
              <w:spacing w:before="240" w:after="120"/>
              <w:jc w:val="both"/>
            </w:pPr>
            <w:r>
              <w:t xml:space="preserve">Claire </w:t>
            </w:r>
            <w:r w:rsidR="00660DF6">
              <w:t>reminded the</w:t>
            </w:r>
            <w:r>
              <w:t xml:space="preserve"> members that in December, the Executive Committee discussed and granted approval for the Consortium to issue a short-term loan in the amount of $100,000 to the New York State Association for Rural Health (NYSARH).  </w:t>
            </w:r>
            <w:r w:rsidR="00660DF6">
              <w:t xml:space="preserve">The promissory note was only recently signed and the loan payed due to a delay in contracting between NYSARH and NYSDOH.  Our check to them was cut and sent to them on 3/15/22.  </w:t>
            </w:r>
            <w:r w:rsidR="00EA15EF">
              <w:t xml:space="preserve">Repayment is </w:t>
            </w:r>
            <w:r w:rsidR="00660DF6">
              <w:t xml:space="preserve">now </w:t>
            </w:r>
            <w:r w:rsidR="00EA15EF">
              <w:t>expected in the early spring</w:t>
            </w:r>
            <w:r w:rsidR="00E15289">
              <w:t xml:space="preserve"> 2022</w:t>
            </w:r>
            <w:r w:rsidR="00EA15EF">
              <w:t xml:space="preserve">. </w:t>
            </w:r>
          </w:p>
        </w:tc>
      </w:tr>
      <w:tr w:rsidR="00660DF6" w:rsidRPr="001E0050" w:rsidTr="00CE1241">
        <w:trPr>
          <w:trHeight w:val="1097"/>
        </w:trPr>
        <w:tc>
          <w:tcPr>
            <w:tcW w:w="1536" w:type="dxa"/>
            <w:tcBorders>
              <w:top w:val="single" w:sz="4" w:space="0" w:color="auto"/>
              <w:left w:val="single" w:sz="8" w:space="0" w:color="auto"/>
              <w:bottom w:val="single" w:sz="4" w:space="0" w:color="auto"/>
              <w:right w:val="single" w:sz="4" w:space="0" w:color="auto"/>
            </w:tcBorders>
            <w:vAlign w:val="center"/>
          </w:tcPr>
          <w:p w:rsidR="00660DF6" w:rsidRDefault="00660DF6" w:rsidP="00B708DF">
            <w:r>
              <w:t>Update on Audit</w:t>
            </w:r>
          </w:p>
        </w:tc>
        <w:tc>
          <w:tcPr>
            <w:tcW w:w="13044" w:type="dxa"/>
            <w:gridSpan w:val="2"/>
            <w:tcBorders>
              <w:top w:val="single" w:sz="4" w:space="0" w:color="auto"/>
              <w:left w:val="single" w:sz="4" w:space="0" w:color="auto"/>
              <w:bottom w:val="single" w:sz="4" w:space="0" w:color="auto"/>
            </w:tcBorders>
            <w:vAlign w:val="center"/>
          </w:tcPr>
          <w:p w:rsidR="00660DF6" w:rsidRDefault="00660DF6" w:rsidP="00660DF6">
            <w:pPr>
              <w:spacing w:before="120" w:after="120"/>
              <w:jc w:val="both"/>
            </w:pPr>
            <w:r>
              <w:t>John informed the Committee that the audit will not be completed by the April Board Meeting and will instead be presented at the meeting on June 1</w:t>
            </w:r>
            <w:r w:rsidRPr="00660DF6">
              <w:rPr>
                <w:vertAlign w:val="superscript"/>
              </w:rPr>
              <w:t>st</w:t>
            </w:r>
            <w:r>
              <w:t xml:space="preserve">. </w:t>
            </w:r>
          </w:p>
        </w:tc>
      </w:tr>
      <w:tr w:rsidR="00F25001" w:rsidRPr="001E0050" w:rsidTr="00420127">
        <w:trPr>
          <w:trHeight w:val="170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660DF6">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660DF6">
              <w:t>February 28, 2022</w:t>
            </w:r>
            <w:r>
              <w:t xml:space="preserve">. Additionally, John Ray offered his “Fiscal Highlights” report.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660DF6">
            <w:pPr>
              <w:spacing w:before="120" w:after="120"/>
              <w:jc w:val="both"/>
              <w:rPr>
                <w:b/>
              </w:rPr>
            </w:pPr>
            <w:r>
              <w:rPr>
                <w:b/>
              </w:rPr>
              <w:t xml:space="preserve">Date, Time &amp; Location:  </w:t>
            </w:r>
            <w:r w:rsidRPr="005C1500">
              <w:rPr>
                <w:b/>
              </w:rPr>
              <w:t xml:space="preserve">Tuesday, </w:t>
            </w:r>
            <w:r w:rsidR="00660DF6">
              <w:rPr>
                <w:b/>
              </w:rPr>
              <w:t>May 24</w:t>
            </w:r>
            <w:r>
              <w:rPr>
                <w:b/>
              </w:rPr>
              <w:t>, 202</w:t>
            </w:r>
            <w:r w:rsidR="00BC5F08">
              <w:rPr>
                <w:b/>
              </w:rPr>
              <w:t>2</w:t>
            </w:r>
            <w:r>
              <w:rPr>
                <w:b/>
              </w:rPr>
              <w:t xml:space="preserve">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46" w:rsidRDefault="003E3146" w:rsidP="00A96EC7">
      <w:r>
        <w:separator/>
      </w:r>
    </w:p>
  </w:endnote>
  <w:endnote w:type="continuationSeparator" w:id="0">
    <w:p w:rsidR="003E3146" w:rsidRDefault="003E3146"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46" w:rsidRDefault="003E3146" w:rsidP="00A96EC7">
      <w:r>
        <w:separator/>
      </w:r>
    </w:p>
  </w:footnote>
  <w:footnote w:type="continuationSeparator" w:id="0">
    <w:p w:rsidR="003E3146" w:rsidRDefault="003E3146"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6A05"/>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64C2"/>
    <w:rsid w:val="00342789"/>
    <w:rsid w:val="00350A8C"/>
    <w:rsid w:val="00352709"/>
    <w:rsid w:val="003624D1"/>
    <w:rsid w:val="00372BD2"/>
    <w:rsid w:val="00384A05"/>
    <w:rsid w:val="00385B16"/>
    <w:rsid w:val="003918B4"/>
    <w:rsid w:val="003A1110"/>
    <w:rsid w:val="003A2E4C"/>
    <w:rsid w:val="003D5D2B"/>
    <w:rsid w:val="003E0374"/>
    <w:rsid w:val="003E12FA"/>
    <w:rsid w:val="003E3146"/>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0DF6"/>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1BBF"/>
    <w:rsid w:val="00A56E15"/>
    <w:rsid w:val="00A7348F"/>
    <w:rsid w:val="00A737CC"/>
    <w:rsid w:val="00A806B4"/>
    <w:rsid w:val="00A82A4A"/>
    <w:rsid w:val="00A96EC7"/>
    <w:rsid w:val="00AA4696"/>
    <w:rsid w:val="00AB137D"/>
    <w:rsid w:val="00AB5968"/>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5F08"/>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24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15289"/>
    <w:rsid w:val="00E40D99"/>
    <w:rsid w:val="00E455C8"/>
    <w:rsid w:val="00E637F7"/>
    <w:rsid w:val="00E722FC"/>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2886-78F0-4665-97D0-98ADF3AF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2022-03-30T18:34:00Z</dcterms:created>
  <dcterms:modified xsi:type="dcterms:W3CDTF">2022-03-30T18:34:00Z</dcterms:modified>
</cp:coreProperties>
</file>