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090"/>
        <w:gridCol w:w="4050"/>
      </w:tblGrid>
      <w:tr w:rsidR="006D2E29" w:rsidRPr="001E0050" w:rsidTr="00482802">
        <w:tc>
          <w:tcPr>
            <w:tcW w:w="10530" w:type="dxa"/>
            <w:gridSpan w:val="2"/>
          </w:tcPr>
          <w:p w:rsidR="006D2E29" w:rsidRPr="001E0050" w:rsidRDefault="006D2E29" w:rsidP="00453765">
            <w:pPr>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50" w:type="dxa"/>
          </w:tcPr>
          <w:p w:rsidR="0055133D" w:rsidRPr="001E0050" w:rsidRDefault="006D2E29" w:rsidP="006D61DE">
            <w:pPr>
              <w:jc w:val="both"/>
              <w:rPr>
                <w:b/>
              </w:rPr>
            </w:pPr>
            <w:r w:rsidRPr="001E0050">
              <w:rPr>
                <w:b/>
              </w:rPr>
              <w:t xml:space="preserve">Date:   </w:t>
            </w:r>
            <w:r w:rsidR="00482802">
              <w:rPr>
                <w:b/>
              </w:rPr>
              <w:t xml:space="preserve">  </w:t>
            </w:r>
            <w:r w:rsidR="006D61DE">
              <w:rPr>
                <w:b/>
              </w:rPr>
              <w:t>March 24</w:t>
            </w:r>
            <w:r w:rsidR="00453765">
              <w:rPr>
                <w:b/>
              </w:rPr>
              <w:t>, 2021</w:t>
            </w:r>
          </w:p>
        </w:tc>
      </w:tr>
      <w:tr w:rsidR="00D81AA6" w:rsidRPr="001E0050" w:rsidTr="00482802">
        <w:trPr>
          <w:trHeight w:val="275"/>
        </w:trPr>
        <w:tc>
          <w:tcPr>
            <w:tcW w:w="10530" w:type="dxa"/>
            <w:gridSpan w:val="2"/>
            <w:vMerge w:val="restart"/>
            <w:vAlign w:val="center"/>
          </w:tcPr>
          <w:p w:rsidR="009F565B" w:rsidRDefault="00482802" w:rsidP="009F565B">
            <w:pPr>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J</w:t>
            </w:r>
            <w:r w:rsidR="007453E8">
              <w:rPr>
                <w:b/>
              </w:rPr>
              <w:t>ack Mabb</w:t>
            </w:r>
            <w:r w:rsidR="00453765">
              <w:rPr>
                <w:b/>
              </w:rPr>
              <w:t xml:space="preserve"> (Chair)</w:t>
            </w:r>
            <w:r w:rsidR="007453E8">
              <w:rPr>
                <w:b/>
              </w:rPr>
              <w:t xml:space="preserve">, </w:t>
            </w:r>
            <w:r w:rsidR="006D61DE">
              <w:rPr>
                <w:b/>
              </w:rPr>
              <w:t>Bob Gibson</w:t>
            </w:r>
            <w:r w:rsidR="006D61DE">
              <w:rPr>
                <w:b/>
              </w:rPr>
              <w:t xml:space="preserve">, </w:t>
            </w:r>
            <w:r w:rsidR="006D61DE">
              <w:rPr>
                <w:b/>
              </w:rPr>
              <w:t>Casey O’Brien</w:t>
            </w:r>
            <w:r w:rsidR="006D61DE">
              <w:rPr>
                <w:b/>
              </w:rPr>
              <w:t xml:space="preserve"> and Ken Stall</w:t>
            </w:r>
          </w:p>
          <w:p w:rsidR="001A7704" w:rsidRDefault="00482802" w:rsidP="00467110">
            <w:pPr>
              <w:jc w:val="both"/>
              <w:rPr>
                <w:b/>
              </w:rPr>
            </w:pPr>
            <w:r>
              <w:rPr>
                <w:b/>
              </w:rPr>
              <w:t>Board</w:t>
            </w:r>
            <w:r w:rsidR="00467110">
              <w:rPr>
                <w:b/>
              </w:rPr>
              <w:t xml:space="preserve"> Members </w:t>
            </w:r>
            <w:r>
              <w:rPr>
                <w:b/>
              </w:rPr>
              <w:t>Excused</w:t>
            </w:r>
            <w:r w:rsidR="00D81AA6" w:rsidRPr="001E0050">
              <w:rPr>
                <w:b/>
              </w:rPr>
              <w:t xml:space="preserve">:  </w:t>
            </w:r>
            <w:r>
              <w:rPr>
                <w:b/>
              </w:rPr>
              <w:t xml:space="preserve">     </w:t>
            </w:r>
            <w:r w:rsidR="00453765">
              <w:rPr>
                <w:b/>
              </w:rPr>
              <w:t xml:space="preserve">PJ Keeler and </w:t>
            </w:r>
            <w:r w:rsidR="006D61DE">
              <w:rPr>
                <w:b/>
              </w:rPr>
              <w:t>Kevin McDonald</w:t>
            </w:r>
          </w:p>
          <w:p w:rsidR="00467110" w:rsidRPr="001E0050" w:rsidRDefault="00467110" w:rsidP="00467110">
            <w:pPr>
              <w:jc w:val="both"/>
            </w:pPr>
          </w:p>
        </w:tc>
        <w:tc>
          <w:tcPr>
            <w:tcW w:w="4050" w:type="dxa"/>
          </w:tcPr>
          <w:p w:rsidR="00D81AA6" w:rsidRPr="001E0050" w:rsidRDefault="00D81AA6" w:rsidP="00482802">
            <w:pPr>
              <w:jc w:val="both"/>
              <w:rPr>
                <w:b/>
              </w:rPr>
            </w:pPr>
            <w:r w:rsidRPr="001E0050">
              <w:rPr>
                <w:b/>
              </w:rPr>
              <w:t>Guests:</w:t>
            </w:r>
            <w:r w:rsidR="00303441">
              <w:rPr>
                <w:b/>
              </w:rPr>
              <w:t xml:space="preserve"> </w:t>
            </w:r>
            <w:r w:rsidR="00082DA3">
              <w:rPr>
                <w:b/>
              </w:rPr>
              <w:t>Terre</w:t>
            </w:r>
            <w:r w:rsidR="008E4A13">
              <w:rPr>
                <w:b/>
              </w:rPr>
              <w:t>nce Pellit</w:t>
            </w:r>
            <w:r w:rsidR="00082DA3">
              <w:rPr>
                <w:b/>
              </w:rPr>
              <w:t>t</w:t>
            </w:r>
            <w:r w:rsidR="008E4A13">
              <w:rPr>
                <w:b/>
              </w:rPr>
              <w:t>eri</w:t>
            </w:r>
          </w:p>
        </w:tc>
      </w:tr>
      <w:tr w:rsidR="00D81AA6" w:rsidRPr="001E0050" w:rsidTr="00482802">
        <w:trPr>
          <w:trHeight w:val="296"/>
        </w:trPr>
        <w:tc>
          <w:tcPr>
            <w:tcW w:w="10530" w:type="dxa"/>
            <w:gridSpan w:val="2"/>
            <w:vMerge/>
          </w:tcPr>
          <w:p w:rsidR="00D81AA6" w:rsidRPr="001E0050" w:rsidRDefault="00D81AA6" w:rsidP="009F565B">
            <w:pPr>
              <w:jc w:val="both"/>
              <w:rPr>
                <w:b/>
              </w:rPr>
            </w:pPr>
          </w:p>
        </w:tc>
        <w:tc>
          <w:tcPr>
            <w:tcW w:w="4050" w:type="dxa"/>
          </w:tcPr>
          <w:p w:rsidR="00482802" w:rsidRDefault="00D81AA6" w:rsidP="00482802">
            <w:pPr>
              <w:rPr>
                <w:b/>
              </w:rPr>
            </w:pPr>
            <w:r w:rsidRPr="001E0050">
              <w:rPr>
                <w:b/>
              </w:rPr>
              <w:t>Staff Members Attending:</w:t>
            </w:r>
            <w:r w:rsidR="004C104F">
              <w:rPr>
                <w:b/>
              </w:rPr>
              <w:t xml:space="preserve"> </w:t>
            </w:r>
          </w:p>
          <w:p w:rsidR="00D81AA6" w:rsidRPr="001E0050" w:rsidRDefault="00D81AA6" w:rsidP="00482802">
            <w:pPr>
              <w:rPr>
                <w:b/>
              </w:rPr>
            </w:pPr>
            <w:r w:rsidRPr="001E0050">
              <w:rPr>
                <w:b/>
              </w:rPr>
              <w:t>Claire Parde</w:t>
            </w:r>
            <w:r w:rsidR="004E0E27">
              <w:rPr>
                <w:b/>
              </w:rPr>
              <w:t xml:space="preserve"> and John Ray</w:t>
            </w:r>
          </w:p>
        </w:tc>
      </w:tr>
      <w:tr w:rsidR="006D2E29" w:rsidRPr="001E0050" w:rsidTr="00531541">
        <w:trPr>
          <w:trHeight w:val="345"/>
        </w:trPr>
        <w:tc>
          <w:tcPr>
            <w:tcW w:w="1440"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140"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0E1E5A" w:rsidRPr="001E0050" w:rsidTr="00531541">
        <w:trPr>
          <w:trHeight w:val="1520"/>
        </w:trPr>
        <w:tc>
          <w:tcPr>
            <w:tcW w:w="1440" w:type="dxa"/>
            <w:tcBorders>
              <w:top w:val="single" w:sz="4" w:space="0" w:color="auto"/>
              <w:left w:val="single" w:sz="8" w:space="0" w:color="auto"/>
              <w:bottom w:val="single" w:sz="4" w:space="0" w:color="auto"/>
              <w:right w:val="single" w:sz="4" w:space="0" w:color="auto"/>
            </w:tcBorders>
            <w:vAlign w:val="center"/>
          </w:tcPr>
          <w:p w:rsidR="000E1E5A" w:rsidRDefault="00C30993" w:rsidP="00F25001">
            <w:r>
              <w:t xml:space="preserve">Update </w:t>
            </w:r>
            <w:r w:rsidR="00482802">
              <w:t>on</w:t>
            </w:r>
            <w:r w:rsidR="00F209EB">
              <w:t xml:space="preserve"> </w:t>
            </w:r>
            <w:r w:rsidR="008B6984">
              <w:t>the investment account</w:t>
            </w:r>
            <w:r w:rsidR="00453765">
              <w:t xml:space="preserve"> and </w:t>
            </w:r>
            <w:r w:rsidR="00F25001">
              <w:t>notice of updates to the IPS from Iron</w:t>
            </w:r>
          </w:p>
        </w:tc>
        <w:tc>
          <w:tcPr>
            <w:tcW w:w="13140" w:type="dxa"/>
            <w:gridSpan w:val="2"/>
            <w:tcBorders>
              <w:top w:val="single" w:sz="4" w:space="0" w:color="auto"/>
              <w:left w:val="single" w:sz="4" w:space="0" w:color="auto"/>
              <w:bottom w:val="single" w:sz="4" w:space="0" w:color="auto"/>
            </w:tcBorders>
            <w:vAlign w:val="center"/>
          </w:tcPr>
          <w:p w:rsidR="00453765" w:rsidRDefault="00E722FC" w:rsidP="00453765">
            <w:pPr>
              <w:spacing w:before="120" w:after="120"/>
              <w:jc w:val="both"/>
            </w:pPr>
            <w:r>
              <w:t>TJ Pellitter</w:t>
            </w:r>
            <w:r w:rsidR="00CC41D1">
              <w:t xml:space="preserve">i, the </w:t>
            </w:r>
            <w:r w:rsidR="00C30993">
              <w:t>manager of</w:t>
            </w:r>
            <w:r w:rsidR="00CC41D1">
              <w:t xml:space="preserve"> the agency’s </w:t>
            </w:r>
            <w:r w:rsidR="00C30993">
              <w:t>investment</w:t>
            </w:r>
            <w:r w:rsidR="00B93F06">
              <w:t xml:space="preserve"> account (“the Fund”) and </w:t>
            </w:r>
            <w:r w:rsidR="00482802">
              <w:t>its</w:t>
            </w:r>
            <w:r w:rsidR="00B93F06">
              <w:t xml:space="preserve"> 401(k) profit-sharing account</w:t>
            </w:r>
            <w:r w:rsidR="00CC41D1">
              <w:t>, provide</w:t>
            </w:r>
            <w:r w:rsidR="00835CE2">
              <w:t>d</w:t>
            </w:r>
            <w:r w:rsidR="00CC41D1">
              <w:t xml:space="preserve"> an update to the Committee.  </w:t>
            </w:r>
            <w:r w:rsidR="00F209EB">
              <w:t xml:space="preserve">With regard to the </w:t>
            </w:r>
            <w:r w:rsidR="008B6984">
              <w:t>Fund</w:t>
            </w:r>
            <w:r w:rsidR="00F209EB">
              <w:t xml:space="preserve">, TJ </w:t>
            </w:r>
            <w:r w:rsidR="00B031B8">
              <w:t xml:space="preserve">noted that recently the growth has been slower than at the start of the calendar year, and expects that slower growth will be the overall trend for the market going forward.  He also noted that some of the recent changes made to the portfolio have further reduced our fees, and some of the newer funds have very low expense ratios. </w:t>
            </w:r>
          </w:p>
          <w:p w:rsidR="00894980" w:rsidRPr="003A2E4C" w:rsidRDefault="00B031B8" w:rsidP="00B031B8">
            <w:pPr>
              <w:spacing w:before="120" w:after="120"/>
              <w:jc w:val="both"/>
              <w:rPr>
                <w:b/>
              </w:rPr>
            </w:pPr>
            <w:r>
              <w:t>Claire clarified that the Investment Policy Statement (IPS) that governs investments in the Reserve Fund</w:t>
            </w:r>
            <w:r w:rsidR="00BD57CE">
              <w:t xml:space="preserve"> </w:t>
            </w:r>
            <w:r>
              <w:t>and is part of the agency’s fiscal policies differs from the IPS that governs investments in the agency’s 401(k) profit-sharing account.  The latter is provided by Iron Financial, the agency’s contracted fiduciary, and cannot be changed by our board, though it may occasionally be updated by Iron</w:t>
            </w:r>
            <w:r w:rsidR="00F25001">
              <w:t>, as it was recently</w:t>
            </w:r>
            <w:r>
              <w:t xml:space="preserve">.  For these reasons, the Committee decided that it would not formally adopt this IPS as part of its own fiscal policies, but simply it retain it on file for the review of any interested board or staff member. </w:t>
            </w:r>
          </w:p>
        </w:tc>
      </w:tr>
      <w:tr w:rsidR="00F209EB" w:rsidRPr="001E0050" w:rsidTr="00531541">
        <w:trPr>
          <w:trHeight w:val="935"/>
        </w:trPr>
        <w:tc>
          <w:tcPr>
            <w:tcW w:w="1440" w:type="dxa"/>
            <w:tcBorders>
              <w:top w:val="single" w:sz="4" w:space="0" w:color="auto"/>
              <w:left w:val="single" w:sz="8" w:space="0" w:color="auto"/>
              <w:bottom w:val="single" w:sz="4" w:space="0" w:color="auto"/>
              <w:right w:val="single" w:sz="4" w:space="0" w:color="auto"/>
            </w:tcBorders>
            <w:vAlign w:val="center"/>
          </w:tcPr>
          <w:p w:rsidR="00F209EB" w:rsidRDefault="00F25001" w:rsidP="00531541">
            <w:r>
              <w:t xml:space="preserve">Update on audit </w:t>
            </w:r>
          </w:p>
        </w:tc>
        <w:tc>
          <w:tcPr>
            <w:tcW w:w="13140" w:type="dxa"/>
            <w:gridSpan w:val="2"/>
            <w:tcBorders>
              <w:top w:val="single" w:sz="4" w:space="0" w:color="auto"/>
              <w:left w:val="single" w:sz="4" w:space="0" w:color="auto"/>
              <w:bottom w:val="single" w:sz="4" w:space="0" w:color="auto"/>
            </w:tcBorders>
            <w:vAlign w:val="center"/>
          </w:tcPr>
          <w:p w:rsidR="00F209EB" w:rsidRPr="005B7F51" w:rsidRDefault="00F25001" w:rsidP="00531541">
            <w:pPr>
              <w:jc w:val="both"/>
            </w:pPr>
            <w:r>
              <w:t xml:space="preserve">John reported that his work related to the audit is complete and we are now awaiting draft financial statements, which we anticipate any day. Ideally, those statements will be available and distributed to the board with the board meeting reminder and materials </w:t>
            </w:r>
            <w:r w:rsidR="00531541">
              <w:t>next week.</w:t>
            </w:r>
          </w:p>
        </w:tc>
      </w:tr>
      <w:tr w:rsidR="00F25001" w:rsidRPr="001E0050" w:rsidTr="00531541">
        <w:trPr>
          <w:trHeight w:val="1295"/>
        </w:trPr>
        <w:tc>
          <w:tcPr>
            <w:tcW w:w="1440" w:type="dxa"/>
            <w:tcBorders>
              <w:top w:val="single" w:sz="4" w:space="0" w:color="auto"/>
              <w:left w:val="single" w:sz="8" w:space="0" w:color="auto"/>
              <w:bottom w:val="single" w:sz="4" w:space="0" w:color="auto"/>
              <w:right w:val="single" w:sz="4" w:space="0" w:color="auto"/>
            </w:tcBorders>
            <w:vAlign w:val="center"/>
          </w:tcPr>
          <w:p w:rsidR="00F25001" w:rsidRDefault="00F25001" w:rsidP="00F25001">
            <w:r>
              <w:t>Financial Reports and Updates</w:t>
            </w:r>
          </w:p>
          <w:p w:rsidR="00F25001" w:rsidRDefault="00F25001" w:rsidP="00F25001">
            <w:r>
              <w:tab/>
              <w:t xml:space="preserve"> </w:t>
            </w:r>
          </w:p>
        </w:tc>
        <w:tc>
          <w:tcPr>
            <w:tcW w:w="13140" w:type="dxa"/>
            <w:gridSpan w:val="2"/>
            <w:tcBorders>
              <w:top w:val="single" w:sz="4" w:space="0" w:color="auto"/>
              <w:left w:val="single" w:sz="4" w:space="0" w:color="auto"/>
              <w:bottom w:val="single" w:sz="4" w:space="0" w:color="auto"/>
            </w:tcBorders>
            <w:vAlign w:val="center"/>
          </w:tcPr>
          <w:p w:rsidR="00F25001" w:rsidRPr="005B7F51" w:rsidRDefault="00F25001" w:rsidP="003A1110">
            <w:pPr>
              <w:spacing w:before="120" w:after="120"/>
              <w:jc w:val="both"/>
            </w:pPr>
            <w:r>
              <w:t xml:space="preserve">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Expenses, all of which are current to February 28, 2021. Additionally, John Ray offered his “Fiscal Highlights” report.  </w:t>
            </w:r>
            <w:r>
              <w:t xml:space="preserve">Staff reported that the 20% of funds that were withheld from our cost-reimbursement vouchers for both our RHN and Tobacco contracts has been released.  Furthermore, </w:t>
            </w:r>
            <w:r w:rsidR="003A1110">
              <w:t xml:space="preserve">we have been advised that the 20% of the contract amount that we had been instructed to allocate to a restricted, unbillable line can now be incorporated into the “spendable” budget. </w:t>
            </w:r>
          </w:p>
        </w:tc>
      </w:tr>
      <w:tr w:rsidR="00F25001" w:rsidRPr="001E0050" w:rsidTr="00531541">
        <w:trPr>
          <w:trHeight w:val="1295"/>
        </w:trPr>
        <w:tc>
          <w:tcPr>
            <w:tcW w:w="1440" w:type="dxa"/>
            <w:tcBorders>
              <w:top w:val="single" w:sz="4" w:space="0" w:color="auto"/>
              <w:left w:val="single" w:sz="8" w:space="0" w:color="auto"/>
              <w:bottom w:val="single" w:sz="4" w:space="0" w:color="auto"/>
              <w:right w:val="single" w:sz="4" w:space="0" w:color="auto"/>
            </w:tcBorders>
            <w:vAlign w:val="center"/>
          </w:tcPr>
          <w:p w:rsidR="00F25001" w:rsidRDefault="00F25001" w:rsidP="00F25001">
            <w:r>
              <w:t>Next Steps</w:t>
            </w:r>
          </w:p>
        </w:tc>
        <w:tc>
          <w:tcPr>
            <w:tcW w:w="13140" w:type="dxa"/>
            <w:gridSpan w:val="2"/>
            <w:tcBorders>
              <w:top w:val="single" w:sz="4" w:space="0" w:color="auto"/>
              <w:left w:val="single" w:sz="4" w:space="0" w:color="auto"/>
              <w:bottom w:val="single" w:sz="4" w:space="0" w:color="auto"/>
            </w:tcBorders>
            <w:vAlign w:val="center"/>
          </w:tcPr>
          <w:p w:rsidR="00F25001" w:rsidRDefault="00F25001" w:rsidP="00531541">
            <w:pPr>
              <w:spacing w:before="120" w:after="120"/>
              <w:jc w:val="both"/>
            </w:pPr>
            <w:r>
              <w:t xml:space="preserve">Staff indicated that, upon the conclusion of the annual financial audit, </w:t>
            </w:r>
            <w:r w:rsidR="00531541">
              <w:t xml:space="preserve">they </w:t>
            </w:r>
            <w:r>
              <w:t>will tur</w:t>
            </w:r>
            <w:r w:rsidR="00531541">
              <w:t>n thei</w:t>
            </w:r>
            <w:r>
              <w:t>r atten</w:t>
            </w:r>
            <w:bookmarkStart w:id="0" w:name="_GoBack"/>
            <w:bookmarkEnd w:id="0"/>
            <w:r>
              <w:t xml:space="preserve">tion to updating the 2021 Annual Operating Budget to reflect some of the changes noted above, and also applying for PPP loan forgiveness. Claire noted that the agency’s auditor, Bonadio, provides an a la carte service focused on counseling borrowers about the PPP forgiveness application. Given the level of documentation and preparation that John Ray has already completed, the estimated cost for this service is $2,000-$3,000.  The Committee agreed with staff that this is a reasonable expense for the surety that </w:t>
            </w:r>
            <w:r w:rsidR="00531541">
              <w:t>their counsel</w:t>
            </w:r>
            <w:r>
              <w:t xml:space="preserve"> would provide. </w:t>
            </w:r>
          </w:p>
        </w:tc>
      </w:tr>
      <w:tr w:rsidR="00F25001" w:rsidRPr="001E0050" w:rsidTr="00531541">
        <w:trPr>
          <w:trHeight w:val="413"/>
        </w:trPr>
        <w:tc>
          <w:tcPr>
            <w:tcW w:w="1440" w:type="dxa"/>
            <w:tcBorders>
              <w:top w:val="single" w:sz="4" w:space="0" w:color="auto"/>
              <w:left w:val="single" w:sz="8" w:space="0" w:color="auto"/>
              <w:bottom w:val="single" w:sz="4" w:space="0" w:color="auto"/>
              <w:right w:val="single" w:sz="4" w:space="0" w:color="auto"/>
            </w:tcBorders>
            <w:vAlign w:val="center"/>
          </w:tcPr>
          <w:p w:rsidR="00F25001" w:rsidRPr="001E0050" w:rsidRDefault="00F25001" w:rsidP="00F25001">
            <w:pPr>
              <w:jc w:val="both"/>
            </w:pPr>
            <w:r>
              <w:t>Next meeting</w:t>
            </w:r>
          </w:p>
        </w:tc>
        <w:tc>
          <w:tcPr>
            <w:tcW w:w="13140" w:type="dxa"/>
            <w:gridSpan w:val="2"/>
            <w:tcBorders>
              <w:top w:val="single" w:sz="4" w:space="0" w:color="auto"/>
              <w:left w:val="single" w:sz="4" w:space="0" w:color="auto"/>
              <w:bottom w:val="single" w:sz="4" w:space="0" w:color="auto"/>
            </w:tcBorders>
            <w:vAlign w:val="center"/>
          </w:tcPr>
          <w:p w:rsidR="00F25001" w:rsidRPr="005C1500" w:rsidRDefault="00F25001" w:rsidP="00F25001">
            <w:pPr>
              <w:spacing w:before="120" w:after="120"/>
              <w:jc w:val="both"/>
              <w:rPr>
                <w:b/>
              </w:rPr>
            </w:pPr>
            <w:r>
              <w:rPr>
                <w:b/>
              </w:rPr>
              <w:t xml:space="preserve">Date, Time &amp; Location:  </w:t>
            </w:r>
            <w:r w:rsidRPr="005C1500">
              <w:rPr>
                <w:b/>
              </w:rPr>
              <w:t xml:space="preserve">Tuesday, </w:t>
            </w:r>
            <w:r>
              <w:rPr>
                <w:b/>
              </w:rPr>
              <w:t xml:space="preserve">May 25, 2021 </w:t>
            </w:r>
            <w:r w:rsidRPr="005C1500">
              <w:rPr>
                <w:b/>
              </w:rPr>
              <w:t>at 3:00 p.m.</w:t>
            </w:r>
            <w:r>
              <w:rPr>
                <w:b/>
              </w:rPr>
              <w:t xml:space="preserve"> via Zoom</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22A6E"/>
    <w:rsid w:val="002413F8"/>
    <w:rsid w:val="002439D3"/>
    <w:rsid w:val="00244475"/>
    <w:rsid w:val="00247C27"/>
    <w:rsid w:val="00252DCF"/>
    <w:rsid w:val="0025371D"/>
    <w:rsid w:val="002620DF"/>
    <w:rsid w:val="00263074"/>
    <w:rsid w:val="0026754F"/>
    <w:rsid w:val="002901B2"/>
    <w:rsid w:val="002A1577"/>
    <w:rsid w:val="002A5029"/>
    <w:rsid w:val="002A5131"/>
    <w:rsid w:val="002B263C"/>
    <w:rsid w:val="002B6DEC"/>
    <w:rsid w:val="002B78E6"/>
    <w:rsid w:val="002C083B"/>
    <w:rsid w:val="002C0B80"/>
    <w:rsid w:val="002C4573"/>
    <w:rsid w:val="002E2F64"/>
    <w:rsid w:val="00303441"/>
    <w:rsid w:val="0030688B"/>
    <w:rsid w:val="00307AF5"/>
    <w:rsid w:val="00342789"/>
    <w:rsid w:val="00350A8C"/>
    <w:rsid w:val="00352709"/>
    <w:rsid w:val="003624D1"/>
    <w:rsid w:val="00372BD2"/>
    <w:rsid w:val="00384A05"/>
    <w:rsid w:val="00385B16"/>
    <w:rsid w:val="003918B4"/>
    <w:rsid w:val="003A1110"/>
    <w:rsid w:val="003A2E4C"/>
    <w:rsid w:val="003D5D2B"/>
    <w:rsid w:val="003E0374"/>
    <w:rsid w:val="003F79C4"/>
    <w:rsid w:val="00412DDD"/>
    <w:rsid w:val="00413C58"/>
    <w:rsid w:val="004159EC"/>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1541"/>
    <w:rsid w:val="00536584"/>
    <w:rsid w:val="005509C2"/>
    <w:rsid w:val="0055133D"/>
    <w:rsid w:val="00564F43"/>
    <w:rsid w:val="00575593"/>
    <w:rsid w:val="00583F29"/>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6211B"/>
    <w:rsid w:val="006764D2"/>
    <w:rsid w:val="00690525"/>
    <w:rsid w:val="00694DA0"/>
    <w:rsid w:val="006B0651"/>
    <w:rsid w:val="006C5404"/>
    <w:rsid w:val="006C59E1"/>
    <w:rsid w:val="006C7D2A"/>
    <w:rsid w:val="006D2900"/>
    <w:rsid w:val="006D2E29"/>
    <w:rsid w:val="006D5967"/>
    <w:rsid w:val="006D61DE"/>
    <w:rsid w:val="006E7DAB"/>
    <w:rsid w:val="006F4454"/>
    <w:rsid w:val="006F5559"/>
    <w:rsid w:val="0070203E"/>
    <w:rsid w:val="007130EC"/>
    <w:rsid w:val="00733162"/>
    <w:rsid w:val="00742E9B"/>
    <w:rsid w:val="007432A5"/>
    <w:rsid w:val="007453E8"/>
    <w:rsid w:val="00746F3D"/>
    <w:rsid w:val="00752B9A"/>
    <w:rsid w:val="00796B31"/>
    <w:rsid w:val="007978F1"/>
    <w:rsid w:val="007D1B36"/>
    <w:rsid w:val="007D77E8"/>
    <w:rsid w:val="007E15C2"/>
    <w:rsid w:val="007E43C8"/>
    <w:rsid w:val="007F6823"/>
    <w:rsid w:val="00810247"/>
    <w:rsid w:val="00820CBF"/>
    <w:rsid w:val="00835CE2"/>
    <w:rsid w:val="00843353"/>
    <w:rsid w:val="00847547"/>
    <w:rsid w:val="00855300"/>
    <w:rsid w:val="008630E4"/>
    <w:rsid w:val="008700A0"/>
    <w:rsid w:val="0088470F"/>
    <w:rsid w:val="0088542F"/>
    <w:rsid w:val="00894980"/>
    <w:rsid w:val="008A2296"/>
    <w:rsid w:val="008B6984"/>
    <w:rsid w:val="008B76AC"/>
    <w:rsid w:val="008C0136"/>
    <w:rsid w:val="008C4914"/>
    <w:rsid w:val="008C496F"/>
    <w:rsid w:val="008D1778"/>
    <w:rsid w:val="008D54E4"/>
    <w:rsid w:val="008E4A13"/>
    <w:rsid w:val="008F4187"/>
    <w:rsid w:val="009115A7"/>
    <w:rsid w:val="0091350F"/>
    <w:rsid w:val="0091567E"/>
    <w:rsid w:val="00921C0E"/>
    <w:rsid w:val="009232D6"/>
    <w:rsid w:val="009333B2"/>
    <w:rsid w:val="00941F5A"/>
    <w:rsid w:val="00943D31"/>
    <w:rsid w:val="00971B37"/>
    <w:rsid w:val="00982840"/>
    <w:rsid w:val="00990131"/>
    <w:rsid w:val="00990FBF"/>
    <w:rsid w:val="009C2995"/>
    <w:rsid w:val="009C4F61"/>
    <w:rsid w:val="009C541E"/>
    <w:rsid w:val="009D18D2"/>
    <w:rsid w:val="009E5527"/>
    <w:rsid w:val="009E7D9C"/>
    <w:rsid w:val="009F565B"/>
    <w:rsid w:val="00A02AD5"/>
    <w:rsid w:val="00A03133"/>
    <w:rsid w:val="00A13EF2"/>
    <w:rsid w:val="00A176E2"/>
    <w:rsid w:val="00A17DE4"/>
    <w:rsid w:val="00A2698A"/>
    <w:rsid w:val="00A3040F"/>
    <w:rsid w:val="00A31D3D"/>
    <w:rsid w:val="00A41C86"/>
    <w:rsid w:val="00A42B94"/>
    <w:rsid w:val="00A47703"/>
    <w:rsid w:val="00A512A1"/>
    <w:rsid w:val="00A56E15"/>
    <w:rsid w:val="00A7348F"/>
    <w:rsid w:val="00A737CC"/>
    <w:rsid w:val="00A806B4"/>
    <w:rsid w:val="00A82A4A"/>
    <w:rsid w:val="00A96EC7"/>
    <w:rsid w:val="00AA4696"/>
    <w:rsid w:val="00AE39BD"/>
    <w:rsid w:val="00AF0735"/>
    <w:rsid w:val="00AF3247"/>
    <w:rsid w:val="00AF5F37"/>
    <w:rsid w:val="00AF728C"/>
    <w:rsid w:val="00B031B8"/>
    <w:rsid w:val="00B070AB"/>
    <w:rsid w:val="00B13FB5"/>
    <w:rsid w:val="00B241BE"/>
    <w:rsid w:val="00B44232"/>
    <w:rsid w:val="00B50F4B"/>
    <w:rsid w:val="00B568C6"/>
    <w:rsid w:val="00B57C39"/>
    <w:rsid w:val="00B60BAB"/>
    <w:rsid w:val="00B71B2B"/>
    <w:rsid w:val="00B75C3E"/>
    <w:rsid w:val="00B816D9"/>
    <w:rsid w:val="00B93F06"/>
    <w:rsid w:val="00B94A16"/>
    <w:rsid w:val="00B956A7"/>
    <w:rsid w:val="00B9717B"/>
    <w:rsid w:val="00BC050C"/>
    <w:rsid w:val="00BC6402"/>
    <w:rsid w:val="00BD57CE"/>
    <w:rsid w:val="00BE2FC7"/>
    <w:rsid w:val="00BE50D6"/>
    <w:rsid w:val="00BE521E"/>
    <w:rsid w:val="00BE76E2"/>
    <w:rsid w:val="00BF2184"/>
    <w:rsid w:val="00C14518"/>
    <w:rsid w:val="00C27C64"/>
    <w:rsid w:val="00C30993"/>
    <w:rsid w:val="00C31650"/>
    <w:rsid w:val="00C50DA8"/>
    <w:rsid w:val="00C80430"/>
    <w:rsid w:val="00C827EF"/>
    <w:rsid w:val="00C95C54"/>
    <w:rsid w:val="00CA7BEE"/>
    <w:rsid w:val="00CB60CB"/>
    <w:rsid w:val="00CC293F"/>
    <w:rsid w:val="00CC41D1"/>
    <w:rsid w:val="00CE1DBC"/>
    <w:rsid w:val="00CE644A"/>
    <w:rsid w:val="00D01490"/>
    <w:rsid w:val="00D069AE"/>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D6CB2"/>
    <w:rsid w:val="00E40D99"/>
    <w:rsid w:val="00E455C8"/>
    <w:rsid w:val="00E637F7"/>
    <w:rsid w:val="00E722FC"/>
    <w:rsid w:val="00E81E94"/>
    <w:rsid w:val="00E91034"/>
    <w:rsid w:val="00E917BE"/>
    <w:rsid w:val="00EA0224"/>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962"/>
    <w:rsid w:val="00F25001"/>
    <w:rsid w:val="00F43C7F"/>
    <w:rsid w:val="00F5638E"/>
    <w:rsid w:val="00F63E94"/>
    <w:rsid w:val="00F64AE7"/>
    <w:rsid w:val="00F744A2"/>
    <w:rsid w:val="00F77F36"/>
    <w:rsid w:val="00F8148F"/>
    <w:rsid w:val="00F84306"/>
    <w:rsid w:val="00FA118E"/>
    <w:rsid w:val="00FA1CEE"/>
    <w:rsid w:val="00FA6B27"/>
    <w:rsid w:val="00FB7AFF"/>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CA06"/>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7DF2-ABF2-4057-9CE3-CE7EE0F6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3</cp:revision>
  <dcterms:created xsi:type="dcterms:W3CDTF">2021-03-26T13:33:00Z</dcterms:created>
  <dcterms:modified xsi:type="dcterms:W3CDTF">2021-03-26T14:37:00Z</dcterms:modified>
</cp:coreProperties>
</file>