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E29" w:rsidRPr="00904E0D" w:rsidRDefault="006D2E29" w:rsidP="006D2E29">
      <w:pPr>
        <w:ind w:left="-1440" w:right="-1440"/>
        <w:jc w:val="center"/>
        <w:rPr>
          <w:b/>
          <w:sz w:val="28"/>
          <w:szCs w:val="28"/>
        </w:rPr>
      </w:pPr>
      <w:smartTag w:uri="urn:schemas-microsoft-com:office:smarttags" w:element="place">
        <w:smartTag w:uri="urn:schemas-microsoft-com:office:smarttags" w:element="PlaceName">
          <w:r w:rsidRPr="00904E0D">
            <w:rPr>
              <w:b/>
              <w:sz w:val="28"/>
              <w:szCs w:val="28"/>
            </w:rPr>
            <w:t>COLUMBIA</w:t>
          </w:r>
        </w:smartTag>
        <w:r w:rsidRPr="00904E0D">
          <w:rPr>
            <w:b/>
            <w:sz w:val="28"/>
            <w:szCs w:val="28"/>
          </w:rPr>
          <w:t xml:space="preserve"> </w:t>
        </w:r>
        <w:smartTag w:uri="urn:schemas-microsoft-com:office:smarttags" w:element="PlaceType">
          <w:r w:rsidRPr="00904E0D">
            <w:rPr>
              <w:b/>
              <w:sz w:val="28"/>
              <w:szCs w:val="28"/>
            </w:rPr>
            <w:t>COUNTY</w:t>
          </w:r>
        </w:smartTag>
      </w:smartTag>
      <w:r w:rsidRPr="00904E0D">
        <w:rPr>
          <w:b/>
          <w:sz w:val="28"/>
          <w:szCs w:val="28"/>
        </w:rPr>
        <w:t xml:space="preserve"> HEALTHCARE CONSORTIUM</w:t>
      </w:r>
    </w:p>
    <w:p w:rsidR="006D2E29" w:rsidRPr="00B44232" w:rsidRDefault="006D2E29" w:rsidP="006D2E29">
      <w:pPr>
        <w:ind w:left="-1440" w:right="-1440"/>
        <w:jc w:val="center"/>
        <w:rPr>
          <w:b/>
        </w:rPr>
      </w:pPr>
      <w:r w:rsidRPr="00B44232">
        <w:rPr>
          <w:b/>
        </w:rPr>
        <w:t>MEETING NOTES</w:t>
      </w:r>
    </w:p>
    <w:p w:rsidR="006D2E29" w:rsidRPr="00B44232" w:rsidRDefault="006D2E29" w:rsidP="006D2E29">
      <w:pPr>
        <w:ind w:left="-1440" w:right="-1440"/>
        <w:jc w:val="center"/>
      </w:pP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0"/>
        <w:gridCol w:w="3960"/>
      </w:tblGrid>
      <w:tr w:rsidR="006D2E29" w:rsidRPr="00B44232" w:rsidTr="0055133D">
        <w:tc>
          <w:tcPr>
            <w:tcW w:w="10170" w:type="dxa"/>
          </w:tcPr>
          <w:p w:rsidR="006D2E29" w:rsidRPr="00B44232" w:rsidRDefault="006D2E29" w:rsidP="00E91034">
            <w:pPr>
              <w:rPr>
                <w:b/>
              </w:rPr>
            </w:pPr>
            <w:r w:rsidRPr="00B44232">
              <w:rPr>
                <w:b/>
              </w:rPr>
              <w:t xml:space="preserve">Committee:   </w:t>
            </w:r>
            <w:r w:rsidR="00E91034" w:rsidRPr="00B44232">
              <w:rPr>
                <w:b/>
              </w:rPr>
              <w:t>Budget and Finance</w:t>
            </w:r>
          </w:p>
        </w:tc>
        <w:tc>
          <w:tcPr>
            <w:tcW w:w="3960" w:type="dxa"/>
          </w:tcPr>
          <w:p w:rsidR="0055133D" w:rsidRPr="00B44232" w:rsidRDefault="006D2E29" w:rsidP="0055133D">
            <w:pPr>
              <w:rPr>
                <w:b/>
              </w:rPr>
            </w:pPr>
            <w:r w:rsidRPr="00B44232">
              <w:rPr>
                <w:b/>
              </w:rPr>
              <w:t xml:space="preserve">Date:    </w:t>
            </w:r>
            <w:r w:rsidR="0055133D">
              <w:rPr>
                <w:b/>
              </w:rPr>
              <w:t>January 20, 2015</w:t>
            </w:r>
          </w:p>
        </w:tc>
      </w:tr>
      <w:tr w:rsidR="006D2E29" w:rsidRPr="00B44232" w:rsidTr="0055133D">
        <w:tc>
          <w:tcPr>
            <w:tcW w:w="10170" w:type="dxa"/>
          </w:tcPr>
          <w:p w:rsidR="0055133D" w:rsidRDefault="0055133D" w:rsidP="0055133D">
            <w:pPr>
              <w:rPr>
                <w:b/>
              </w:rPr>
            </w:pPr>
            <w:r>
              <w:rPr>
                <w:b/>
              </w:rPr>
              <w:t xml:space="preserve">Board Members </w:t>
            </w:r>
            <w:r w:rsidR="006D2E29" w:rsidRPr="00B44232">
              <w:rPr>
                <w:b/>
              </w:rPr>
              <w:t>Attend</w:t>
            </w:r>
            <w:r>
              <w:rPr>
                <w:b/>
              </w:rPr>
              <w:t xml:space="preserve">ing: </w:t>
            </w:r>
            <w:r w:rsidR="00E91034" w:rsidRPr="00B44232">
              <w:rPr>
                <w:b/>
              </w:rPr>
              <w:t>Ken Stall, PJ Keeler, Lisa Evans, Chelly Hegan,</w:t>
            </w:r>
            <w:r w:rsidR="006D2E29" w:rsidRPr="00B44232">
              <w:rPr>
                <w:b/>
              </w:rPr>
              <w:t xml:space="preserve"> </w:t>
            </w:r>
            <w:r w:rsidRPr="00B44232">
              <w:rPr>
                <w:b/>
              </w:rPr>
              <w:t>Jim Campion</w:t>
            </w:r>
          </w:p>
          <w:p w:rsidR="006D2E29" w:rsidRPr="00B44232" w:rsidRDefault="0055133D" w:rsidP="0055133D">
            <w:r>
              <w:rPr>
                <w:b/>
              </w:rPr>
              <w:t xml:space="preserve">Staff Members Attending: John Ray and </w:t>
            </w:r>
            <w:r w:rsidR="006D2E29" w:rsidRPr="00B44232">
              <w:rPr>
                <w:b/>
              </w:rPr>
              <w:t>Claire Parde</w:t>
            </w:r>
          </w:p>
        </w:tc>
        <w:tc>
          <w:tcPr>
            <w:tcW w:w="3960" w:type="dxa"/>
          </w:tcPr>
          <w:p w:rsidR="006D2E29" w:rsidRPr="00B44232" w:rsidRDefault="0055133D" w:rsidP="0055133D">
            <w:pPr>
              <w:rPr>
                <w:b/>
              </w:rPr>
            </w:pPr>
            <w:r>
              <w:rPr>
                <w:b/>
              </w:rPr>
              <w:t>Guest:  Tim Bartholomew, Investment Representative, Available at TBOGC</w:t>
            </w:r>
          </w:p>
        </w:tc>
      </w:tr>
      <w:tr w:rsidR="006D2E29" w:rsidRPr="00B44232" w:rsidTr="0055133D">
        <w:trPr>
          <w:trHeight w:val="70"/>
        </w:trPr>
        <w:tc>
          <w:tcPr>
            <w:tcW w:w="10170" w:type="dxa"/>
          </w:tcPr>
          <w:p w:rsidR="006D2E29" w:rsidRPr="00B44232" w:rsidRDefault="006D2E29" w:rsidP="0055133D">
            <w:r w:rsidRPr="00B44232">
              <w:rPr>
                <w:b/>
              </w:rPr>
              <w:t>Absent</w:t>
            </w:r>
            <w:r w:rsidR="0055133D">
              <w:rPr>
                <w:b/>
              </w:rPr>
              <w:t>: None.</w:t>
            </w:r>
          </w:p>
        </w:tc>
        <w:tc>
          <w:tcPr>
            <w:tcW w:w="3960" w:type="dxa"/>
          </w:tcPr>
          <w:p w:rsidR="006D2E29" w:rsidRPr="00B44232" w:rsidRDefault="0055133D" w:rsidP="00E91034">
            <w:pPr>
              <w:rPr>
                <w:b/>
              </w:rPr>
            </w:pPr>
            <w:r>
              <w:rPr>
                <w:b/>
              </w:rPr>
              <w:t>Scribe:  Claire Parde</w:t>
            </w:r>
          </w:p>
        </w:tc>
      </w:tr>
    </w:tbl>
    <w:p w:rsidR="006D2E29" w:rsidRPr="00B44232" w:rsidRDefault="006D2E29" w:rsidP="006D2E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1648"/>
      </w:tblGrid>
      <w:tr w:rsidR="006D2E29" w:rsidRPr="00B44232" w:rsidTr="0055133D">
        <w:trPr>
          <w:trHeight w:val="345"/>
        </w:trPr>
        <w:tc>
          <w:tcPr>
            <w:tcW w:w="2448" w:type="dxa"/>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 xml:space="preserve">TOPIC DISCUSSED </w:t>
            </w:r>
          </w:p>
        </w:tc>
        <w:tc>
          <w:tcPr>
            <w:tcW w:w="11648" w:type="dxa"/>
            <w:tcBorders>
              <w:top w:val="single" w:sz="24" w:space="0" w:color="auto"/>
              <w:left w:val="single" w:sz="24" w:space="0" w:color="auto"/>
              <w:bottom w:val="single" w:sz="4" w:space="0" w:color="auto"/>
              <w:right w:val="single" w:sz="24" w:space="0" w:color="auto"/>
            </w:tcBorders>
          </w:tcPr>
          <w:p w:rsidR="006D2E29" w:rsidRPr="00B44232" w:rsidRDefault="006D2E29" w:rsidP="00F21962">
            <w:pPr>
              <w:rPr>
                <w:b/>
              </w:rPr>
            </w:pPr>
            <w:r w:rsidRPr="00B44232">
              <w:rPr>
                <w:b/>
              </w:rPr>
              <w:t>SUMMARY OF TOPIC DISCUSSED</w:t>
            </w:r>
          </w:p>
        </w:tc>
      </w:tr>
      <w:tr w:rsidR="004A10B9" w:rsidRPr="00B44232" w:rsidTr="004A10B9">
        <w:trPr>
          <w:trHeight w:val="552"/>
        </w:trPr>
        <w:tc>
          <w:tcPr>
            <w:tcW w:w="2448" w:type="dxa"/>
            <w:tcBorders>
              <w:top w:val="single" w:sz="4" w:space="0" w:color="auto"/>
              <w:left w:val="single" w:sz="8" w:space="0" w:color="auto"/>
              <w:bottom w:val="single" w:sz="4" w:space="0" w:color="auto"/>
              <w:right w:val="single" w:sz="4" w:space="0" w:color="auto"/>
            </w:tcBorders>
            <w:vAlign w:val="center"/>
          </w:tcPr>
          <w:p w:rsidR="004A10B9" w:rsidRPr="00B44232" w:rsidRDefault="0055133D" w:rsidP="00F21962">
            <w:r>
              <w:t>Presentation from Tim Bartholomew, Investment Representative, available at The Bank of Greene County</w:t>
            </w:r>
          </w:p>
        </w:tc>
        <w:tc>
          <w:tcPr>
            <w:tcW w:w="11648" w:type="dxa"/>
            <w:tcBorders>
              <w:top w:val="single" w:sz="4" w:space="0" w:color="auto"/>
              <w:left w:val="single" w:sz="4" w:space="0" w:color="auto"/>
              <w:bottom w:val="single" w:sz="4" w:space="0" w:color="auto"/>
            </w:tcBorders>
            <w:vAlign w:val="center"/>
          </w:tcPr>
          <w:p w:rsidR="004A10B9" w:rsidRDefault="0055133D" w:rsidP="005C6D89">
            <w:r>
              <w:t xml:space="preserve">Tim Bartholomew, Investment Representative available at the Bank of Greene County, made </w:t>
            </w:r>
            <w:r w:rsidR="00FA1CEE">
              <w:t xml:space="preserve">introductory remarks to the Committee, which included a description of the previous hypothetical presentations he provided to the group. He also recounted the request to provide a recommendation for a </w:t>
            </w:r>
            <w:r>
              <w:t xml:space="preserve">more balanced equity approach, while remaining consistent with the agency’s fiscal policy pertaining to investment accounts. </w:t>
            </w:r>
            <w:r w:rsidR="00FA1CEE">
              <w:t>Tim noted that he was provided with the fiscal policy, last updated in November 2009, which he commented “falls in line” with the pol</w:t>
            </w:r>
            <w:r w:rsidR="00475C88">
              <w:t xml:space="preserve">icies of similar organizations, although </w:t>
            </w:r>
            <w:r w:rsidR="005C6D89">
              <w:t xml:space="preserve">he recommended that the Committee </w:t>
            </w:r>
            <w:r w:rsidR="00CA7BEE">
              <w:t>update</w:t>
            </w:r>
            <w:r w:rsidR="005C6D89">
              <w:t xml:space="preserve"> the policy at this time. </w:t>
            </w:r>
          </w:p>
          <w:p w:rsidR="00475C88" w:rsidRDefault="00475C88" w:rsidP="005C6D89"/>
          <w:p w:rsidR="005C6D89" w:rsidRDefault="005C6D89" w:rsidP="005C6D89">
            <w:r>
              <w:t xml:space="preserve">Two portfolios were considered, the first of which has an equity percentage averaging 10%, and the second </w:t>
            </w:r>
            <w:r w:rsidR="00A176E2">
              <w:t xml:space="preserve">with an equity percentage averaging closer to 20%. In either portfolio, the percent equity could be increased at any time. </w:t>
            </w:r>
          </w:p>
          <w:p w:rsidR="00475C88" w:rsidRDefault="00475C88" w:rsidP="005C6D89"/>
          <w:p w:rsidR="00475C88" w:rsidRDefault="00475C88" w:rsidP="005C6D89">
            <w:r>
              <w:t xml:space="preserve">The Committee inquired about depositing some of the agency’s excess cash in an account, but Tim argued that the rate of return on the checking account </w:t>
            </w:r>
            <w:r w:rsidR="00CA7BEE">
              <w:t xml:space="preserve">in which it’s currently deposited </w:t>
            </w:r>
            <w:r>
              <w:t xml:space="preserve">exceeds that percent return that he could offer. </w:t>
            </w:r>
          </w:p>
          <w:p w:rsidR="00475C88" w:rsidRDefault="00475C88" w:rsidP="005C6D89"/>
          <w:p w:rsidR="00475C88" w:rsidRPr="00B44232" w:rsidRDefault="00CA7BEE" w:rsidP="00CA7BEE">
            <w:r>
              <w:t>Before changing the investment vehicle, t</w:t>
            </w:r>
            <w:r w:rsidR="00475C88">
              <w:t xml:space="preserve">he Committee decided to review </w:t>
            </w:r>
            <w:r>
              <w:t xml:space="preserve">and revise </w:t>
            </w:r>
            <w:r w:rsidR="00475C88">
              <w:t>the current fiscal policy as it pertains to investments.  John and Claire will collect and compile sample policies, with input from Matt Vanderbeck of PKHB, the agency’s auditor</w:t>
            </w:r>
            <w:r>
              <w:t>,</w:t>
            </w:r>
            <w:r w:rsidR="00475C88">
              <w:t xml:space="preserve"> and make a recommendation to the Committee. The Committee will, in turn, make a recommendation </w:t>
            </w:r>
            <w:r>
              <w:t xml:space="preserve">of a new investment policy </w:t>
            </w:r>
            <w:r w:rsidR="00475C88">
              <w:t xml:space="preserve">to the Entire Board. </w:t>
            </w:r>
          </w:p>
        </w:tc>
      </w:tr>
      <w:tr w:rsidR="0055133D" w:rsidRPr="00B44232" w:rsidTr="00CA7BEE">
        <w:trPr>
          <w:trHeight w:val="350"/>
        </w:trPr>
        <w:tc>
          <w:tcPr>
            <w:tcW w:w="2448" w:type="dxa"/>
            <w:tcBorders>
              <w:top w:val="single" w:sz="4" w:space="0" w:color="auto"/>
              <w:left w:val="single" w:sz="8" w:space="0" w:color="auto"/>
              <w:bottom w:val="single" w:sz="4" w:space="0" w:color="auto"/>
              <w:right w:val="single" w:sz="4" w:space="0" w:color="auto"/>
            </w:tcBorders>
            <w:vAlign w:val="center"/>
          </w:tcPr>
          <w:p w:rsidR="0055133D" w:rsidRPr="0055133D" w:rsidRDefault="0055133D" w:rsidP="00F21962">
            <w:pPr>
              <w:rPr>
                <w:b/>
              </w:rPr>
            </w:pPr>
            <w:r w:rsidRPr="0055133D">
              <w:rPr>
                <w:b/>
              </w:rPr>
              <w:t>Action</w:t>
            </w:r>
          </w:p>
        </w:tc>
        <w:tc>
          <w:tcPr>
            <w:tcW w:w="11648" w:type="dxa"/>
            <w:tcBorders>
              <w:top w:val="single" w:sz="4" w:space="0" w:color="auto"/>
              <w:left w:val="single" w:sz="4" w:space="0" w:color="auto"/>
              <w:bottom w:val="single" w:sz="4" w:space="0" w:color="auto"/>
            </w:tcBorders>
            <w:vAlign w:val="center"/>
          </w:tcPr>
          <w:p w:rsidR="0055133D" w:rsidRPr="0055133D" w:rsidRDefault="0055133D" w:rsidP="0055133D">
            <w:r w:rsidRPr="0055133D">
              <w:t>At the previous meeting, the following action was taken:</w:t>
            </w:r>
          </w:p>
          <w:p w:rsidR="0055133D" w:rsidRDefault="0055133D" w:rsidP="0055133D">
            <w:r w:rsidRPr="00843353">
              <w:rPr>
                <w:b/>
              </w:rPr>
              <w:t>PJ Keeler made a motion to move the investment account to the Bank of Greene County.  The motion was seconded by Lisa Evans, all approved and the motion carried</w:t>
            </w:r>
            <w:r>
              <w:t xml:space="preserve">. </w:t>
            </w:r>
          </w:p>
          <w:p w:rsidR="0055133D" w:rsidRDefault="0055133D" w:rsidP="0055133D">
            <w:r>
              <w:t xml:space="preserve">At this meeting, the Committee discussed the </w:t>
            </w:r>
            <w:r w:rsidR="00FA1CEE">
              <w:t>concern, raised during the last meeting of the Entire Board, that the motion was initiated by PJ without a prior disclosure of his interest in the banking institution (a sister-in-law is employed there in a senior role). In order to ensure that the action is not perceived to be in any way tainted by an interest, the Committee resolved to nullify the previous motion, as follows:</w:t>
            </w:r>
          </w:p>
          <w:p w:rsidR="0055133D" w:rsidRPr="0055133D" w:rsidRDefault="00FA1CEE" w:rsidP="005C6D89">
            <w:pPr>
              <w:rPr>
                <w:b/>
              </w:rPr>
            </w:pPr>
            <w:r w:rsidRPr="005C6D89">
              <w:rPr>
                <w:b/>
              </w:rPr>
              <w:t>Lisa Evans made a motion to rescind the motion from the previous meeting.  The motion was seconded by Chelly Hegan. Ken Stall inquired whether any member had an interest to disclose.  PJ Keeler disclosed that his sister-in-law works for the Bank of Greene County and Jim Campion disclosed that he serves on the Advisory Board to the Bank of Greene County. Both members abstained</w:t>
            </w:r>
            <w:r w:rsidR="005C6D89">
              <w:rPr>
                <w:b/>
              </w:rPr>
              <w:t xml:space="preserve"> from voting</w:t>
            </w:r>
            <w:r w:rsidRPr="005C6D89">
              <w:rPr>
                <w:b/>
              </w:rPr>
              <w:t xml:space="preserve">. </w:t>
            </w:r>
            <w:r w:rsidR="005C6D89">
              <w:rPr>
                <w:b/>
              </w:rPr>
              <w:t xml:space="preserve">All remaining members approved </w:t>
            </w:r>
            <w:r w:rsidR="005C6D89">
              <w:rPr>
                <w:b/>
              </w:rPr>
              <w:lastRenderedPageBreak/>
              <w:t>and the motion carried.</w:t>
            </w:r>
          </w:p>
        </w:tc>
      </w:tr>
      <w:tr w:rsidR="0055133D" w:rsidRPr="00B44232" w:rsidTr="004A10B9">
        <w:trPr>
          <w:trHeight w:val="552"/>
        </w:trPr>
        <w:tc>
          <w:tcPr>
            <w:tcW w:w="2448" w:type="dxa"/>
            <w:tcBorders>
              <w:top w:val="single" w:sz="4" w:space="0" w:color="auto"/>
              <w:left w:val="single" w:sz="8" w:space="0" w:color="auto"/>
              <w:bottom w:val="single" w:sz="4" w:space="0" w:color="auto"/>
              <w:right w:val="single" w:sz="4" w:space="0" w:color="auto"/>
            </w:tcBorders>
            <w:vAlign w:val="center"/>
          </w:tcPr>
          <w:p w:rsidR="0055133D" w:rsidRDefault="00475C88" w:rsidP="00F21962">
            <w:r>
              <w:lastRenderedPageBreak/>
              <w:t>Departure</w:t>
            </w:r>
          </w:p>
        </w:tc>
        <w:tc>
          <w:tcPr>
            <w:tcW w:w="11648" w:type="dxa"/>
            <w:tcBorders>
              <w:top w:val="single" w:sz="4" w:space="0" w:color="auto"/>
              <w:left w:val="single" w:sz="4" w:space="0" w:color="auto"/>
              <w:bottom w:val="single" w:sz="4" w:space="0" w:color="auto"/>
            </w:tcBorders>
            <w:vAlign w:val="center"/>
          </w:tcPr>
          <w:p w:rsidR="0055133D" w:rsidRPr="00B44232" w:rsidRDefault="00475C88" w:rsidP="004A10B9">
            <w:r>
              <w:t>At this time, PJ Keeler exited the meeting.</w:t>
            </w:r>
          </w:p>
        </w:tc>
      </w:tr>
      <w:tr w:rsidR="00475C88" w:rsidRPr="00B44232" w:rsidTr="004A10B9">
        <w:trPr>
          <w:trHeight w:val="552"/>
        </w:trPr>
        <w:tc>
          <w:tcPr>
            <w:tcW w:w="2448" w:type="dxa"/>
            <w:tcBorders>
              <w:top w:val="single" w:sz="4" w:space="0" w:color="auto"/>
              <w:left w:val="single" w:sz="8" w:space="0" w:color="auto"/>
              <w:bottom w:val="single" w:sz="4" w:space="0" w:color="auto"/>
              <w:right w:val="single" w:sz="4" w:space="0" w:color="auto"/>
            </w:tcBorders>
            <w:vAlign w:val="center"/>
          </w:tcPr>
          <w:p w:rsidR="00475C88" w:rsidRPr="00515E81" w:rsidRDefault="00475C88" w:rsidP="00F21962">
            <w:pPr>
              <w:rPr>
                <w:b/>
              </w:rPr>
            </w:pPr>
            <w:r w:rsidRPr="00515E81">
              <w:rPr>
                <w:b/>
              </w:rPr>
              <w:t>Action</w:t>
            </w:r>
          </w:p>
        </w:tc>
        <w:tc>
          <w:tcPr>
            <w:tcW w:w="11648" w:type="dxa"/>
            <w:tcBorders>
              <w:top w:val="single" w:sz="4" w:space="0" w:color="auto"/>
              <w:left w:val="single" w:sz="4" w:space="0" w:color="auto"/>
              <w:bottom w:val="single" w:sz="4" w:space="0" w:color="auto"/>
            </w:tcBorders>
            <w:vAlign w:val="center"/>
          </w:tcPr>
          <w:p w:rsidR="00475C88" w:rsidRPr="00475C88" w:rsidRDefault="00475C88" w:rsidP="004A10B9">
            <w:pPr>
              <w:rPr>
                <w:b/>
              </w:rPr>
            </w:pPr>
            <w:r w:rsidRPr="00475C88">
              <w:rPr>
                <w:b/>
              </w:rPr>
              <w:t xml:space="preserve">Chelly Hegan made a motion to proceed with the purchase of a new minibus and the disposal of the old minibus. Ken Stall seconded the motion. All approved and the motion carried. </w:t>
            </w:r>
          </w:p>
        </w:tc>
      </w:tr>
      <w:tr w:rsidR="006D2E29" w:rsidRPr="00B44232" w:rsidTr="004A10B9">
        <w:trPr>
          <w:trHeight w:val="930"/>
        </w:trPr>
        <w:tc>
          <w:tcPr>
            <w:tcW w:w="2448" w:type="dxa"/>
            <w:tcBorders>
              <w:top w:val="single" w:sz="4" w:space="0" w:color="auto"/>
              <w:left w:val="single" w:sz="8" w:space="0" w:color="auto"/>
              <w:right w:val="single" w:sz="4" w:space="0" w:color="auto"/>
            </w:tcBorders>
            <w:vAlign w:val="center"/>
          </w:tcPr>
          <w:p w:rsidR="006D2E29" w:rsidRPr="00B44232" w:rsidRDefault="00F21962" w:rsidP="00F21962">
            <w:r w:rsidRPr="00B44232">
              <w:t>Financial Reports</w:t>
            </w:r>
          </w:p>
        </w:tc>
        <w:tc>
          <w:tcPr>
            <w:tcW w:w="11648" w:type="dxa"/>
            <w:tcBorders>
              <w:top w:val="single" w:sz="4" w:space="0" w:color="auto"/>
              <w:left w:val="single" w:sz="4" w:space="0" w:color="auto"/>
            </w:tcBorders>
            <w:vAlign w:val="center"/>
          </w:tcPr>
          <w:p w:rsidR="00B44232" w:rsidRPr="00B44232" w:rsidRDefault="00F21962" w:rsidP="00B44232">
            <w:r w:rsidRPr="00B44232">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5C6D89">
              <w:t>December</w:t>
            </w:r>
            <w:r w:rsidRPr="00B44232">
              <w:t xml:space="preserve"> 31, 2014.  </w:t>
            </w:r>
            <w:r w:rsidR="00B44232" w:rsidRPr="00B44232">
              <w:t>John offered the following highlights and explanations:</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C6D89">
              <w:rPr>
                <w:rFonts w:ascii="Times New Roman" w:eastAsiaTheme="minorHAnsi" w:hAnsi="Times New Roman"/>
                <w:color w:val="000000"/>
                <w:sz w:val="24"/>
              </w:rPr>
              <w:t xml:space="preserve">Grants Receivable - </w:t>
            </w:r>
            <w:r w:rsidRPr="00515E81">
              <w:rPr>
                <w:rFonts w:ascii="Times New Roman" w:eastAsiaTheme="minorHAnsi" w:hAnsi="Times New Roman"/>
                <w:color w:val="000000"/>
                <w:sz w:val="24"/>
              </w:rPr>
              <w:t xml:space="preserve">The </w:t>
            </w:r>
            <w:r w:rsidRPr="00515E81">
              <w:rPr>
                <w:rFonts w:ascii="Times New Roman" w:eastAsiaTheme="minorHAnsi" w:hAnsi="Times New Roman"/>
                <w:bCs/>
                <w:color w:val="000000"/>
                <w:sz w:val="24"/>
              </w:rPr>
              <w:t>Navigator Program</w:t>
            </w:r>
            <w:r w:rsidRPr="00515E81">
              <w:rPr>
                <w:rFonts w:ascii="Times New Roman" w:eastAsiaTheme="minorHAnsi" w:hAnsi="Times New Roman"/>
                <w:color w:val="000000"/>
                <w:sz w:val="24"/>
              </w:rPr>
              <w:t xml:space="preserve"> has four outstanding vouchers for the months of June - September 2014 totaling $58,428. Our Contract Manager at DOH is surprised we haven't been paid, and Accounts Payable at OGS says the vouchers are moving slowly thru the system. </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color w:val="000000"/>
                <w:sz w:val="24"/>
              </w:rPr>
              <w:t xml:space="preserve">NYS approved the </w:t>
            </w:r>
            <w:r w:rsidRPr="00515E81">
              <w:rPr>
                <w:rFonts w:ascii="Times New Roman" w:eastAsiaTheme="minorHAnsi" w:hAnsi="Times New Roman"/>
                <w:bCs/>
                <w:color w:val="000000"/>
                <w:sz w:val="24"/>
              </w:rPr>
              <w:t xml:space="preserve">Navigator Program </w:t>
            </w:r>
            <w:r w:rsidRPr="00515E81">
              <w:rPr>
                <w:rFonts w:ascii="Times New Roman" w:eastAsiaTheme="minorHAnsi" w:hAnsi="Times New Roman"/>
                <w:color w:val="000000"/>
                <w:sz w:val="24"/>
              </w:rPr>
              <w:t>work plan &amp; budget for the new contract year running Oct’14 –Sept’15. Vouchering of $66,436 for the three months of October - December 2014 to be completed in January 2015. Like RHN, the five year contract for the Navigator Program automatically renews each year with no contracts to be signed or executed. This is our second year of the five year contract.</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color w:val="000000"/>
                <w:sz w:val="24"/>
              </w:rPr>
              <w:t xml:space="preserve">The </w:t>
            </w:r>
            <w:r w:rsidRPr="00515E81">
              <w:rPr>
                <w:rFonts w:ascii="Times New Roman" w:eastAsiaTheme="minorHAnsi" w:hAnsi="Times New Roman"/>
                <w:bCs/>
                <w:color w:val="000000"/>
                <w:sz w:val="24"/>
              </w:rPr>
              <w:t>Cancer Screening Program</w:t>
            </w:r>
            <w:r w:rsidRPr="00515E81">
              <w:rPr>
                <w:rFonts w:ascii="Times New Roman" w:eastAsiaTheme="minorHAnsi" w:hAnsi="Times New Roman"/>
                <w:color w:val="000000"/>
                <w:sz w:val="24"/>
              </w:rPr>
              <w:t xml:space="preserve"> (04/2015 to 03/2016) submitted their work plan and budget to the contract manager for approval. Budget remains the same at $140,000.</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color w:val="000000"/>
                <w:sz w:val="24"/>
              </w:rPr>
              <w:t xml:space="preserve">The </w:t>
            </w:r>
            <w:r w:rsidRPr="00515E81">
              <w:rPr>
                <w:rFonts w:ascii="Times New Roman" w:eastAsiaTheme="minorHAnsi" w:hAnsi="Times New Roman"/>
                <w:bCs/>
                <w:color w:val="000000"/>
                <w:sz w:val="24"/>
              </w:rPr>
              <w:t>Cancer Screening Program</w:t>
            </w:r>
            <w:r w:rsidRPr="00515E81">
              <w:rPr>
                <w:rFonts w:ascii="Times New Roman" w:eastAsiaTheme="minorHAnsi" w:hAnsi="Times New Roman"/>
                <w:color w:val="000000"/>
                <w:sz w:val="24"/>
              </w:rPr>
              <w:t xml:space="preserve"> (04/2014 to 03/2015) took advantage of COLA funds and submit</w:t>
            </w:r>
            <w:r w:rsidR="00475C88" w:rsidRPr="00515E81">
              <w:rPr>
                <w:rFonts w:ascii="Times New Roman" w:eastAsiaTheme="minorHAnsi" w:hAnsi="Times New Roman"/>
                <w:color w:val="000000"/>
                <w:sz w:val="24"/>
              </w:rPr>
              <w:t xml:space="preserve">ted a voucher in the amount of </w:t>
            </w:r>
            <w:r w:rsidRPr="00515E81">
              <w:rPr>
                <w:rFonts w:ascii="Times New Roman" w:eastAsiaTheme="minorHAnsi" w:hAnsi="Times New Roman"/>
                <w:color w:val="000000"/>
                <w:sz w:val="24"/>
              </w:rPr>
              <w:t>$3,635 for two new computers.</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bCs/>
                <w:color w:val="000000"/>
                <w:sz w:val="24"/>
              </w:rPr>
              <w:t>Dyson Foundation</w:t>
            </w:r>
            <w:r w:rsidRPr="00515E81">
              <w:rPr>
                <w:rFonts w:ascii="Times New Roman" w:eastAsiaTheme="minorHAnsi" w:hAnsi="Times New Roman"/>
                <w:color w:val="000000"/>
                <w:sz w:val="24"/>
              </w:rPr>
              <w:t xml:space="preserve"> - Dyson awarded $50,000 for </w:t>
            </w:r>
            <w:r w:rsidR="00475C88" w:rsidRPr="00515E81">
              <w:rPr>
                <w:rFonts w:ascii="Times New Roman" w:eastAsiaTheme="minorHAnsi" w:hAnsi="Times New Roman"/>
                <w:color w:val="000000"/>
                <w:sz w:val="24"/>
              </w:rPr>
              <w:t>the Prescription A</w:t>
            </w:r>
            <w:r w:rsidRPr="00515E81">
              <w:rPr>
                <w:rFonts w:ascii="Times New Roman" w:eastAsiaTheme="minorHAnsi" w:hAnsi="Times New Roman"/>
                <w:color w:val="000000"/>
                <w:sz w:val="24"/>
              </w:rPr>
              <w:t xml:space="preserve">ccess </w:t>
            </w:r>
            <w:r w:rsidR="00475C88" w:rsidRPr="00515E81">
              <w:rPr>
                <w:rFonts w:ascii="Times New Roman" w:eastAsiaTheme="minorHAnsi" w:hAnsi="Times New Roman"/>
                <w:color w:val="000000"/>
                <w:sz w:val="24"/>
              </w:rPr>
              <w:t xml:space="preserve">and Referral progam </w:t>
            </w:r>
            <w:r w:rsidRPr="00515E81">
              <w:rPr>
                <w:rFonts w:ascii="Times New Roman" w:eastAsiaTheme="minorHAnsi" w:hAnsi="Times New Roman"/>
                <w:color w:val="000000"/>
                <w:sz w:val="24"/>
              </w:rPr>
              <w:t>over the next two years (01/2015 to 12/2016).</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bCs/>
                <w:color w:val="000000"/>
                <w:sz w:val="24"/>
              </w:rPr>
              <w:t>Columbia County</w:t>
            </w:r>
            <w:r w:rsidRPr="00515E81">
              <w:rPr>
                <w:rFonts w:ascii="Times New Roman" w:eastAsiaTheme="minorHAnsi" w:hAnsi="Times New Roman"/>
                <w:color w:val="000000"/>
                <w:sz w:val="24"/>
              </w:rPr>
              <w:t xml:space="preserve"> - County 2015 budget appropriation for agency's Receptionist &amp; CARTS increased to $49,000 from $47,500. The various County Department 2015 appropriations for agency's CARTS remained the same at $19,000. (Dept. of DSS $10,000, Dept. of Health $3,500, OFA $3,500 and Dept. of Human Services $2,000)</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bCs/>
                <w:color w:val="000000"/>
                <w:sz w:val="24"/>
              </w:rPr>
              <w:t>OFA: NY Connects</w:t>
            </w:r>
            <w:r w:rsidRPr="00515E81">
              <w:rPr>
                <w:rFonts w:ascii="Times New Roman" w:eastAsiaTheme="minorHAnsi" w:hAnsi="Times New Roman"/>
                <w:color w:val="000000"/>
                <w:sz w:val="24"/>
              </w:rPr>
              <w:t xml:space="preserve"> (10/14 to 09/15) budget was submitted to OFA for approval. </w:t>
            </w:r>
            <w:r w:rsidRPr="00515E81">
              <w:rPr>
                <w:rFonts w:ascii="Times New Roman" w:eastAsiaTheme="minorHAnsi" w:hAnsi="Times New Roman"/>
                <w:bCs/>
                <w:color w:val="000000"/>
                <w:sz w:val="24"/>
              </w:rPr>
              <w:t xml:space="preserve">Senior Transportation </w:t>
            </w:r>
            <w:r w:rsidRPr="00515E81">
              <w:rPr>
                <w:rFonts w:ascii="Times New Roman" w:eastAsiaTheme="minorHAnsi" w:hAnsi="Times New Roman"/>
                <w:color w:val="000000"/>
                <w:sz w:val="24"/>
              </w:rPr>
              <w:t>increased 2015 budget amount to $36,000 from $35,000. The number of senior citizen trips in the 2014 y</w:t>
            </w:r>
            <w:r w:rsidR="00475C88" w:rsidRPr="00515E81">
              <w:rPr>
                <w:rFonts w:ascii="Times New Roman" w:eastAsiaTheme="minorHAnsi" w:hAnsi="Times New Roman"/>
                <w:color w:val="000000"/>
                <w:sz w:val="24"/>
              </w:rPr>
              <w:t>ear increased by 15% over the pre</w:t>
            </w:r>
            <w:r w:rsidRPr="00515E81">
              <w:rPr>
                <w:rFonts w:ascii="Times New Roman" w:eastAsiaTheme="minorHAnsi" w:hAnsi="Times New Roman"/>
                <w:color w:val="000000"/>
                <w:sz w:val="24"/>
              </w:rPr>
              <w:t xml:space="preserve">vious year. Finally, </w:t>
            </w:r>
            <w:r w:rsidR="00475C88" w:rsidRPr="00515E81">
              <w:rPr>
                <w:rFonts w:ascii="Times New Roman" w:eastAsiaTheme="minorHAnsi" w:hAnsi="Times New Roman"/>
                <w:color w:val="000000"/>
                <w:sz w:val="24"/>
              </w:rPr>
              <w:t xml:space="preserve">the agency received $714 for its work on the </w:t>
            </w:r>
            <w:r w:rsidRPr="00515E81">
              <w:rPr>
                <w:rFonts w:ascii="Times New Roman" w:eastAsiaTheme="minorHAnsi" w:hAnsi="Times New Roman"/>
                <w:bCs/>
                <w:color w:val="000000"/>
                <w:sz w:val="24"/>
              </w:rPr>
              <w:t>System</w:t>
            </w:r>
            <w:r w:rsidR="00475C88" w:rsidRPr="00515E81">
              <w:rPr>
                <w:rFonts w:ascii="Times New Roman" w:eastAsiaTheme="minorHAnsi" w:hAnsi="Times New Roman"/>
                <w:bCs/>
                <w:color w:val="000000"/>
                <w:sz w:val="24"/>
              </w:rPr>
              <w:t>s</w:t>
            </w:r>
            <w:r w:rsidRPr="00515E81">
              <w:rPr>
                <w:rFonts w:ascii="Times New Roman" w:eastAsiaTheme="minorHAnsi" w:hAnsi="Times New Roman"/>
                <w:bCs/>
                <w:color w:val="000000"/>
                <w:sz w:val="24"/>
              </w:rPr>
              <w:t xml:space="preserve"> Integration </w:t>
            </w:r>
            <w:r w:rsidR="00475C88" w:rsidRPr="00515E81">
              <w:rPr>
                <w:rFonts w:ascii="Times New Roman" w:eastAsiaTheme="minorHAnsi" w:hAnsi="Times New Roman"/>
                <w:color w:val="000000"/>
                <w:sz w:val="24"/>
              </w:rPr>
              <w:t>contract</w:t>
            </w:r>
            <w:r w:rsidRPr="00515E81">
              <w:rPr>
                <w:rFonts w:ascii="Times New Roman" w:eastAsiaTheme="minorHAnsi" w:hAnsi="Times New Roman"/>
                <w:color w:val="000000"/>
                <w:sz w:val="24"/>
              </w:rPr>
              <w:t xml:space="preserve">. </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bCs/>
                <w:color w:val="000000"/>
                <w:sz w:val="24"/>
              </w:rPr>
              <w:t xml:space="preserve">Community Cancer Funds </w:t>
            </w:r>
            <w:r w:rsidRPr="00515E81">
              <w:rPr>
                <w:rFonts w:ascii="Times New Roman" w:eastAsiaTheme="minorHAnsi" w:hAnsi="Times New Roman"/>
                <w:color w:val="000000"/>
                <w:sz w:val="24"/>
              </w:rPr>
              <w:t>received $672 from The Bank of Greene County which was collecting donations in the month of October at their various branch locations.</w:t>
            </w:r>
          </w:p>
          <w:p w:rsidR="005C6D89" w:rsidRPr="00515E81" w:rsidRDefault="005C6D89" w:rsidP="005C6D89">
            <w:pPr>
              <w:pStyle w:val="ListParagraph"/>
              <w:numPr>
                <w:ilvl w:val="0"/>
                <w:numId w:val="3"/>
              </w:numPr>
              <w:autoSpaceDE w:val="0"/>
              <w:autoSpaceDN w:val="0"/>
              <w:adjustRightInd w:val="0"/>
              <w:spacing w:line="240" w:lineRule="auto"/>
              <w:rPr>
                <w:rFonts w:ascii="Times New Roman" w:eastAsiaTheme="minorHAnsi" w:hAnsi="Times New Roman"/>
                <w:color w:val="000000"/>
                <w:sz w:val="24"/>
              </w:rPr>
            </w:pPr>
            <w:r w:rsidRPr="00515E81">
              <w:rPr>
                <w:rFonts w:ascii="Times New Roman" w:eastAsiaTheme="minorHAnsi" w:hAnsi="Times New Roman"/>
                <w:bCs/>
                <w:color w:val="000000"/>
                <w:sz w:val="24"/>
              </w:rPr>
              <w:t>Others:</w:t>
            </w:r>
            <w:r w:rsidRPr="00515E81">
              <w:rPr>
                <w:rFonts w:ascii="Times New Roman" w:eastAsiaTheme="minorHAnsi" w:hAnsi="Times New Roman"/>
                <w:color w:val="000000"/>
                <w:sz w:val="24"/>
              </w:rPr>
              <w:t xml:space="preserve"> </w:t>
            </w:r>
            <w:r w:rsidRPr="00515E81">
              <w:rPr>
                <w:rFonts w:ascii="Times New Roman" w:eastAsiaTheme="minorHAnsi" w:hAnsi="Times New Roman"/>
                <w:bCs/>
                <w:color w:val="000000"/>
                <w:sz w:val="24"/>
              </w:rPr>
              <w:t>1)</w:t>
            </w:r>
            <w:r w:rsidRPr="00515E81">
              <w:rPr>
                <w:rFonts w:ascii="Times New Roman" w:eastAsiaTheme="minorHAnsi" w:hAnsi="Times New Roman"/>
                <w:color w:val="000000"/>
                <w:sz w:val="24"/>
              </w:rPr>
              <w:t xml:space="preserve"> The 2015 annual audit tentatively scheduled for the week of April 20, 2015, and </w:t>
            </w:r>
            <w:r w:rsidRPr="00515E81">
              <w:rPr>
                <w:rFonts w:ascii="Times New Roman" w:eastAsiaTheme="minorHAnsi" w:hAnsi="Times New Roman"/>
                <w:bCs/>
                <w:color w:val="000000"/>
                <w:sz w:val="24"/>
              </w:rPr>
              <w:t>2)</w:t>
            </w:r>
            <w:r w:rsidRPr="00515E81">
              <w:rPr>
                <w:rFonts w:ascii="Times New Roman" w:eastAsiaTheme="minorHAnsi" w:hAnsi="Times New Roman"/>
                <w:color w:val="000000"/>
                <w:sz w:val="24"/>
              </w:rPr>
              <w:t xml:space="preserve"> </w:t>
            </w:r>
            <w:r w:rsidRPr="00515E81">
              <w:rPr>
                <w:rFonts w:ascii="Times New Roman" w:eastAsiaTheme="minorHAnsi" w:hAnsi="Times New Roman"/>
                <w:bCs/>
                <w:color w:val="000000"/>
                <w:sz w:val="24"/>
              </w:rPr>
              <w:t>Tobacco Free Program</w:t>
            </w:r>
            <w:r w:rsidRPr="00515E81">
              <w:rPr>
                <w:rFonts w:ascii="Times New Roman" w:eastAsiaTheme="minorHAnsi" w:hAnsi="Times New Roman"/>
                <w:color w:val="000000"/>
                <w:sz w:val="24"/>
              </w:rPr>
              <w:t xml:space="preserve"> filled two new positions, Michelle Swanson as Reality Check Coordinator and Duane Jordan as Communication Specialist.</w:t>
            </w:r>
          </w:p>
          <w:p w:rsidR="005A25ED" w:rsidRPr="00B44232" w:rsidRDefault="005A25ED" w:rsidP="005C6D89">
            <w:pPr>
              <w:pStyle w:val="ListParagraph"/>
              <w:spacing w:after="0" w:line="240" w:lineRule="auto"/>
              <w:ind w:left="0"/>
              <w:rPr>
                <w:rFonts w:ascii="Times New Roman" w:hAnsi="Times New Roman"/>
                <w:sz w:val="24"/>
                <w:szCs w:val="24"/>
              </w:rPr>
            </w:pPr>
          </w:p>
        </w:tc>
      </w:tr>
      <w:tr w:rsidR="002C083B" w:rsidTr="00941F5A">
        <w:trPr>
          <w:trHeight w:val="440"/>
        </w:trPr>
        <w:tc>
          <w:tcPr>
            <w:tcW w:w="2448" w:type="dxa"/>
            <w:tcBorders>
              <w:top w:val="single" w:sz="4" w:space="0" w:color="auto"/>
              <w:left w:val="single" w:sz="8" w:space="0" w:color="auto"/>
              <w:bottom w:val="single" w:sz="4" w:space="0" w:color="auto"/>
              <w:right w:val="single" w:sz="4" w:space="0" w:color="auto"/>
            </w:tcBorders>
            <w:vAlign w:val="center"/>
          </w:tcPr>
          <w:p w:rsidR="002C083B" w:rsidRDefault="002C083B" w:rsidP="00F21962">
            <w:r>
              <w:t>Next meeting</w:t>
            </w:r>
          </w:p>
        </w:tc>
        <w:tc>
          <w:tcPr>
            <w:tcW w:w="11648" w:type="dxa"/>
            <w:tcBorders>
              <w:top w:val="single" w:sz="4" w:space="0" w:color="auto"/>
              <w:left w:val="single" w:sz="4" w:space="0" w:color="auto"/>
              <w:bottom w:val="single" w:sz="4" w:space="0" w:color="auto"/>
              <w:right w:val="single" w:sz="4" w:space="0" w:color="auto"/>
            </w:tcBorders>
            <w:vAlign w:val="center"/>
          </w:tcPr>
          <w:p w:rsidR="002C083B" w:rsidRDefault="008630E4" w:rsidP="0055133D">
            <w:pPr>
              <w:spacing w:before="120" w:after="120"/>
            </w:pPr>
            <w:r>
              <w:t xml:space="preserve">The next </w:t>
            </w:r>
            <w:r w:rsidR="00E91034">
              <w:t>meeting</w:t>
            </w:r>
            <w:r>
              <w:t xml:space="preserve"> is </w:t>
            </w:r>
            <w:r w:rsidR="005C3C63">
              <w:t xml:space="preserve">scheduled for </w:t>
            </w:r>
            <w:r w:rsidR="0055133D">
              <w:rPr>
                <w:b/>
              </w:rPr>
              <w:t xml:space="preserve">March </w:t>
            </w:r>
            <w:r w:rsidR="00CA7BEE">
              <w:rPr>
                <w:b/>
              </w:rPr>
              <w:t>17, 2015 at 3:00 p.m.</w:t>
            </w:r>
          </w:p>
        </w:tc>
      </w:tr>
    </w:tbl>
    <w:p w:rsidR="00B60BAB" w:rsidRDefault="00B60BAB"/>
    <w:sectPr w:rsidR="00B60BAB" w:rsidSect="00990FB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D2E29"/>
    <w:rsid w:val="00023E7B"/>
    <w:rsid w:val="00026EB6"/>
    <w:rsid w:val="00064B5F"/>
    <w:rsid w:val="000B6DD7"/>
    <w:rsid w:val="000F0E3D"/>
    <w:rsid w:val="001274CB"/>
    <w:rsid w:val="00132B0A"/>
    <w:rsid w:val="001515B8"/>
    <w:rsid w:val="001911CB"/>
    <w:rsid w:val="001F64E2"/>
    <w:rsid w:val="00207444"/>
    <w:rsid w:val="00212943"/>
    <w:rsid w:val="00247C27"/>
    <w:rsid w:val="002C083B"/>
    <w:rsid w:val="002C0B80"/>
    <w:rsid w:val="002C4573"/>
    <w:rsid w:val="0030688B"/>
    <w:rsid w:val="00342789"/>
    <w:rsid w:val="00352709"/>
    <w:rsid w:val="003624D1"/>
    <w:rsid w:val="00412DDD"/>
    <w:rsid w:val="00421F8B"/>
    <w:rsid w:val="00475C88"/>
    <w:rsid w:val="004760AF"/>
    <w:rsid w:val="004A10B9"/>
    <w:rsid w:val="004E41EF"/>
    <w:rsid w:val="00515E81"/>
    <w:rsid w:val="0055133D"/>
    <w:rsid w:val="00575593"/>
    <w:rsid w:val="005A25ED"/>
    <w:rsid w:val="005B073F"/>
    <w:rsid w:val="005C3C63"/>
    <w:rsid w:val="005C6D89"/>
    <w:rsid w:val="0062335B"/>
    <w:rsid w:val="006472C0"/>
    <w:rsid w:val="006C7D2A"/>
    <w:rsid w:val="006D2E29"/>
    <w:rsid w:val="0070203E"/>
    <w:rsid w:val="00746F3D"/>
    <w:rsid w:val="007E15C2"/>
    <w:rsid w:val="007E43C8"/>
    <w:rsid w:val="00843353"/>
    <w:rsid w:val="008630E4"/>
    <w:rsid w:val="008F4187"/>
    <w:rsid w:val="009115A7"/>
    <w:rsid w:val="00921C0E"/>
    <w:rsid w:val="00941F5A"/>
    <w:rsid w:val="00990FBF"/>
    <w:rsid w:val="00A176E2"/>
    <w:rsid w:val="00B44232"/>
    <w:rsid w:val="00B57C39"/>
    <w:rsid w:val="00B60BAB"/>
    <w:rsid w:val="00BE2FC7"/>
    <w:rsid w:val="00BE50D6"/>
    <w:rsid w:val="00BE76E2"/>
    <w:rsid w:val="00C14518"/>
    <w:rsid w:val="00C50DA8"/>
    <w:rsid w:val="00CA7BEE"/>
    <w:rsid w:val="00CE1DBC"/>
    <w:rsid w:val="00D14318"/>
    <w:rsid w:val="00D70608"/>
    <w:rsid w:val="00DB62FF"/>
    <w:rsid w:val="00E91034"/>
    <w:rsid w:val="00EB0D94"/>
    <w:rsid w:val="00F007AD"/>
    <w:rsid w:val="00F20BC1"/>
    <w:rsid w:val="00F21962"/>
    <w:rsid w:val="00F64AE7"/>
    <w:rsid w:val="00F8148F"/>
    <w:rsid w:val="00FA1CEE"/>
    <w:rsid w:val="00FA6B27"/>
    <w:rsid w:val="00FB7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2015-01-28T18:23:00Z</dcterms:created>
  <dcterms:modified xsi:type="dcterms:W3CDTF">2015-01-28T18:23:00Z</dcterms:modified>
</cp:coreProperties>
</file>