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24D" w:rsidRDefault="005A524D" w:rsidP="005A524D">
      <w:pPr>
        <w:pStyle w:val="Header"/>
        <w:rPr>
          <w:b/>
        </w:rPr>
      </w:pPr>
      <w:r>
        <w:rPr>
          <w:b/>
        </w:rPr>
        <w:t>Columbia County Community Healthcare Consortium, Inc.</w:t>
      </w:r>
    </w:p>
    <w:p w:rsidR="005A524D" w:rsidRDefault="005A524D" w:rsidP="005A524D">
      <w:pPr>
        <w:pStyle w:val="Header"/>
        <w:rPr>
          <w:b/>
        </w:rPr>
      </w:pPr>
      <w:r>
        <w:rPr>
          <w:b/>
        </w:rPr>
        <w:t>Joint Budget and Finance and Executive Committee</w:t>
      </w:r>
    </w:p>
    <w:p w:rsidR="005A524D" w:rsidRDefault="005A524D" w:rsidP="005A524D">
      <w:pPr>
        <w:pStyle w:val="Header"/>
        <w:rPr>
          <w:b/>
        </w:rPr>
      </w:pPr>
      <w:r>
        <w:rPr>
          <w:b/>
        </w:rPr>
        <w:t>Notes from the meeting of January 27, 2016</w:t>
      </w:r>
    </w:p>
    <w:p w:rsidR="005A524D" w:rsidRDefault="005A524D" w:rsidP="005A524D">
      <w:pPr>
        <w:pStyle w:val="Header"/>
        <w:rPr>
          <w:b/>
        </w:rPr>
      </w:pPr>
    </w:p>
    <w:p w:rsidR="005A524D" w:rsidRDefault="005A524D" w:rsidP="005A524D">
      <w:r>
        <w:rPr>
          <w:b/>
        </w:rPr>
        <w:t>Attending</w:t>
      </w:r>
      <w:r w:rsidR="007B4AA6">
        <w:rPr>
          <w:b/>
        </w:rPr>
        <w:t xml:space="preserve"> Members</w:t>
      </w:r>
      <w:r>
        <w:rPr>
          <w:b/>
        </w:rPr>
        <w:t xml:space="preserve">: </w:t>
      </w:r>
      <w:r>
        <w:t xml:space="preserve">Beth Schuster, Robin Andrews, Theresa Lux, Leitha Pierro, Ken Stall, Lisa Evans, Linda Tripp, Jim Campion, </w:t>
      </w:r>
      <w:r w:rsidR="007B4AA6">
        <w:t xml:space="preserve">and </w:t>
      </w:r>
      <w:r>
        <w:t>PJ Keeler</w:t>
      </w:r>
    </w:p>
    <w:p w:rsidR="005A524D" w:rsidRDefault="005A524D" w:rsidP="005A524D"/>
    <w:p w:rsidR="005A524D" w:rsidRDefault="005A524D" w:rsidP="005A524D">
      <w:r>
        <w:rPr>
          <w:b/>
        </w:rPr>
        <w:t>Absent</w:t>
      </w:r>
      <w:r w:rsidR="007B4AA6">
        <w:rPr>
          <w:b/>
        </w:rPr>
        <w:t xml:space="preserve"> Members</w:t>
      </w:r>
      <w:r>
        <w:rPr>
          <w:b/>
        </w:rPr>
        <w:t>:</w:t>
      </w:r>
      <w:r>
        <w:t xml:space="preserve"> Tam Mustapha, Art Proper, </w:t>
      </w:r>
      <w:r w:rsidR="007B4AA6">
        <w:t xml:space="preserve">and </w:t>
      </w:r>
      <w:r>
        <w:t>Chelly Hegan</w:t>
      </w:r>
    </w:p>
    <w:p w:rsidR="005A524D" w:rsidRDefault="005A524D" w:rsidP="005A524D"/>
    <w:p w:rsidR="007B4AA6" w:rsidRDefault="007B4AA6" w:rsidP="005A524D">
      <w:pPr>
        <w:rPr>
          <w:b/>
        </w:rPr>
      </w:pPr>
      <w:r>
        <w:rPr>
          <w:b/>
        </w:rPr>
        <w:t xml:space="preserve">Staff Members: </w:t>
      </w:r>
      <w:r>
        <w:t>Claire Parde, John Ray, and Aleshia Boyle</w:t>
      </w:r>
    </w:p>
    <w:p w:rsidR="007B4AA6" w:rsidRDefault="007B4AA6" w:rsidP="005A524D">
      <w:pPr>
        <w:rPr>
          <w:b/>
        </w:rPr>
      </w:pPr>
    </w:p>
    <w:p w:rsidR="005A524D" w:rsidRDefault="005A524D" w:rsidP="005A524D">
      <w:r w:rsidRPr="007D06E2">
        <w:rPr>
          <w:b/>
        </w:rPr>
        <w:t>Guest Speaker</w:t>
      </w:r>
      <w:r>
        <w:t>: Todd Heller, Esq., CPC of Heller Pension Associates, Inc.</w:t>
      </w:r>
    </w:p>
    <w:p w:rsidR="005A524D" w:rsidRDefault="005A524D" w:rsidP="005A524D"/>
    <w:p w:rsidR="007B4AA6" w:rsidRDefault="005A524D" w:rsidP="005A524D">
      <w:pPr>
        <w:rPr>
          <w:b/>
        </w:rPr>
      </w:pPr>
      <w:r>
        <w:rPr>
          <w:b/>
        </w:rPr>
        <w:t>CALL TO ORDER</w:t>
      </w:r>
    </w:p>
    <w:p w:rsidR="005A524D" w:rsidRDefault="007B4AA6" w:rsidP="005A524D">
      <w:r>
        <w:t>Meeting was called to order</w:t>
      </w:r>
      <w:r w:rsidR="005A524D">
        <w:t xml:space="preserve"> at 9:00 a.m. by President Beth Schuster.</w:t>
      </w:r>
    </w:p>
    <w:p w:rsidR="005A524D" w:rsidRDefault="005A524D" w:rsidP="005A524D"/>
    <w:p w:rsidR="005A524D" w:rsidRDefault="005A524D" w:rsidP="005A524D">
      <w:r>
        <w:t>Claire introduced Todd Heller of Heller Pension Associates, Inc.</w:t>
      </w:r>
    </w:p>
    <w:p w:rsidR="005A524D" w:rsidRDefault="005A524D" w:rsidP="005A524D"/>
    <w:p w:rsidR="005A524D" w:rsidRDefault="005A524D" w:rsidP="005A524D">
      <w:r>
        <w:t>After introductions, Todd explained that he is an Attorney an</w:t>
      </w:r>
      <w:r w:rsidR="007B4AA6">
        <w:t>d Certified Pension Consultant at</w:t>
      </w:r>
      <w:r>
        <w:t xml:space="preserve"> Heller Pension Associates, Inc., </w:t>
      </w:r>
      <w:r w:rsidR="00065E88">
        <w:t>with an office in</w:t>
      </w:r>
      <w:r>
        <w:t xml:space="preserve"> Hyde Park. His office is exclusively “fee-for-service” and does not sell products. </w:t>
      </w:r>
      <w:r w:rsidR="009017AD">
        <w:t xml:space="preserve">Services include plan design, administration and compliance. </w:t>
      </w:r>
    </w:p>
    <w:p w:rsidR="005A524D" w:rsidRDefault="005A524D" w:rsidP="005A524D"/>
    <w:p w:rsidR="005A524D" w:rsidRDefault="005A524D" w:rsidP="005A524D">
      <w:r>
        <w:t>Todd presented a proposal</w:t>
      </w:r>
      <w:r w:rsidR="00065E88">
        <w:t xml:space="preserve"> for a 401(k) </w:t>
      </w:r>
      <w:r>
        <w:t>that he and Claire had develop</w:t>
      </w:r>
      <w:r w:rsidR="00065E88">
        <w:t>ed</w:t>
      </w:r>
      <w:r w:rsidR="007B4AA6">
        <w:t xml:space="preserve"> together</w:t>
      </w:r>
      <w:r>
        <w:t xml:space="preserve">. </w:t>
      </w:r>
      <w:r w:rsidR="00065E88">
        <w:t xml:space="preserve">The </w:t>
      </w:r>
      <w:r w:rsidR="009017AD">
        <w:t>presentation</w:t>
      </w:r>
      <w:r w:rsidR="00065E88">
        <w:t xml:space="preserve"> addressed many features of the plan, including eligibility, entry dates, and vesting schedules</w:t>
      </w:r>
      <w:r w:rsidR="007B4AA6">
        <w:t xml:space="preserve"> (see attached)</w:t>
      </w:r>
      <w:r w:rsidR="00065E88">
        <w:t xml:space="preserve">. </w:t>
      </w:r>
    </w:p>
    <w:p w:rsidR="005A524D" w:rsidRDefault="005A524D" w:rsidP="005A524D">
      <w:r>
        <w:t xml:space="preserve">     </w:t>
      </w:r>
    </w:p>
    <w:p w:rsidR="005A524D" w:rsidRDefault="005A524D" w:rsidP="005A524D">
      <w:r>
        <w:t xml:space="preserve">A question </w:t>
      </w:r>
      <w:r w:rsidR="009017AD">
        <w:t xml:space="preserve">about </w:t>
      </w:r>
      <w:r>
        <w:t xml:space="preserve">the Fidelity Bond </w:t>
      </w:r>
      <w:r w:rsidR="009017AD">
        <w:t xml:space="preserve">insurance coverage prompted </w:t>
      </w:r>
      <w:r>
        <w:t>Todd to explain that this is a federal requirement for all plans</w:t>
      </w:r>
      <w:r w:rsidR="009017AD">
        <w:t xml:space="preserve"> subject to ERISA</w:t>
      </w:r>
      <w:r>
        <w:t xml:space="preserve">. </w:t>
      </w:r>
    </w:p>
    <w:p w:rsidR="007B4AA6" w:rsidDel="009017AD" w:rsidRDefault="007B4AA6" w:rsidP="005A524D"/>
    <w:p w:rsidR="000819A1" w:rsidRDefault="00724BB3" w:rsidP="005A524D">
      <w:r>
        <w:t xml:space="preserve">A question about the </w:t>
      </w:r>
      <w:r w:rsidR="009017AD">
        <w:t>direction of investment</w:t>
      </w:r>
      <w:r>
        <w:t xml:space="preserve">s prompted </w:t>
      </w:r>
      <w:r w:rsidR="009017AD">
        <w:t xml:space="preserve">Todd </w:t>
      </w:r>
      <w:r>
        <w:t xml:space="preserve">to clarify </w:t>
      </w:r>
      <w:r w:rsidR="009017AD">
        <w:t>that the employer selects an investment platform and an investment advisor.  The advisor then narrows the invest</w:t>
      </w:r>
      <w:r w:rsidR="004D5745">
        <w:t>ment</w:t>
      </w:r>
      <w:bookmarkStart w:id="0" w:name="_GoBack"/>
      <w:bookmarkEnd w:id="0"/>
      <w:r w:rsidR="009017AD">
        <w:t xml:space="preserve"> options from which employees select.  Thereafter, employee investments may be entirely “self-directed.”  Todd </w:t>
      </w:r>
      <w:r>
        <w:t>explained</w:t>
      </w:r>
      <w:r w:rsidR="009017AD">
        <w:t xml:space="preserve"> that </w:t>
      </w:r>
      <w:r>
        <w:t>while Third Party Administrators such as Heller Pension Associates do not</w:t>
      </w:r>
      <w:r w:rsidR="009017AD">
        <w:t xml:space="preserve"> handle </w:t>
      </w:r>
      <w:r>
        <w:t>investments</w:t>
      </w:r>
      <w:r w:rsidR="009017AD">
        <w:t xml:space="preserve">, </w:t>
      </w:r>
      <w:r>
        <w:t>he</w:t>
      </w:r>
      <w:r w:rsidR="009017AD">
        <w:t xml:space="preserve"> would be happy to </w:t>
      </w:r>
      <w:r>
        <w:t>recommend</w:t>
      </w:r>
      <w:r w:rsidR="009017AD">
        <w:t xml:space="preserve"> Investment Advisor</w:t>
      </w:r>
      <w:r>
        <w:t>s with whom we might work.</w:t>
      </w:r>
    </w:p>
    <w:p w:rsidR="00724BB3" w:rsidRDefault="00724BB3" w:rsidP="005A524D"/>
    <w:p w:rsidR="00724BB3" w:rsidRDefault="00724BB3" w:rsidP="005A524D">
      <w:r>
        <w:t>Other questions for Todd pertained to reporting requirements, mitigating risk exposure, and the typical range of employer contributions.</w:t>
      </w:r>
    </w:p>
    <w:p w:rsidR="005A524D" w:rsidRDefault="005A524D" w:rsidP="005A524D"/>
    <w:p w:rsidR="005A524D" w:rsidRDefault="0032371A" w:rsidP="005A524D">
      <w:r>
        <w:t>With no further questions, Todd thank</w:t>
      </w:r>
      <w:r w:rsidR="005529FA">
        <w:t>ed</w:t>
      </w:r>
      <w:r>
        <w:t xml:space="preserve"> members for their time and exited at 9:40 a.m.</w:t>
      </w:r>
    </w:p>
    <w:p w:rsidR="005A524D" w:rsidRDefault="005A524D" w:rsidP="005A524D"/>
    <w:p w:rsidR="005A524D" w:rsidRDefault="0032371A" w:rsidP="001733C2">
      <w:r>
        <w:t xml:space="preserve">At this time, members discussed the proposal at length. </w:t>
      </w:r>
      <w:r w:rsidR="00724BB3">
        <w:t>M</w:t>
      </w:r>
      <w:r>
        <w:t xml:space="preserve">embers raised concerns </w:t>
      </w:r>
      <w:r w:rsidR="00724BB3">
        <w:t>about</w:t>
      </w:r>
      <w:r>
        <w:t xml:space="preserve"> reporting requirements</w:t>
      </w:r>
      <w:r w:rsidR="00724BB3">
        <w:t xml:space="preserve"> and costs.  The group </w:t>
      </w:r>
      <w:r w:rsidR="005A524D">
        <w:t>requested that Claire prepare a cost estimate for the plan as proposed</w:t>
      </w:r>
      <w:r w:rsidR="005529FA">
        <w:t xml:space="preserve"> based on </w:t>
      </w:r>
      <w:r w:rsidR="004E7DF3">
        <w:t xml:space="preserve">full </w:t>
      </w:r>
      <w:r w:rsidR="005529FA">
        <w:t>participation</w:t>
      </w:r>
      <w:r w:rsidR="004E7DF3">
        <w:t xml:space="preserve"> of all eligible employees</w:t>
      </w:r>
      <w:r w:rsidR="005529FA">
        <w:t xml:space="preserve">. </w:t>
      </w:r>
      <w:r w:rsidR="004E7DF3">
        <w:t xml:space="preserve">Claire will have this prepared by the next Executive Committee meeting in February. </w:t>
      </w:r>
      <w:r w:rsidR="005529FA">
        <w:t xml:space="preserve"> </w:t>
      </w:r>
    </w:p>
    <w:p w:rsidR="00724BB3" w:rsidRDefault="00724BB3" w:rsidP="001733C2"/>
    <w:p w:rsidR="00646335" w:rsidRDefault="00646335" w:rsidP="005A524D">
      <w:pPr>
        <w:spacing w:line="276" w:lineRule="auto"/>
      </w:pPr>
      <w:r>
        <w:rPr>
          <w:i/>
        </w:rPr>
        <w:t>Lisa Evans exited at 10:20 a.m.</w:t>
      </w:r>
    </w:p>
    <w:p w:rsidR="007B66D4" w:rsidRDefault="007B66D4" w:rsidP="007B66D4">
      <w:pPr>
        <w:spacing w:before="120"/>
      </w:pPr>
      <w:r w:rsidRPr="001E0050">
        <w:t xml:space="preserve">The Committee </w:t>
      </w:r>
      <w:r w:rsidR="00237136">
        <w:t>reviewed</w:t>
      </w:r>
      <w:r w:rsidRPr="001E0050">
        <w:t xml:space="preserve"> the </w:t>
      </w:r>
      <w:r w:rsidR="00237136">
        <w:t>agency’s</w:t>
      </w:r>
      <w:r w:rsidRPr="001E0050">
        <w:t xml:space="preserve"> Financial Reports, including the Accounts Receivable Aging Summary, the Statement of Financial Position (Balance Sheet), Statement of Activities (Income</w:t>
      </w:r>
      <w:r w:rsidR="009807D2">
        <w:t xml:space="preserve"> Statement) for the agency and Transportation P</w:t>
      </w:r>
      <w:r w:rsidRPr="001E0050">
        <w:t xml:space="preserve">rogram, respectively, and the Statement of Revenues, Supports and Expenses, all of which are current to </w:t>
      </w:r>
      <w:r>
        <w:t xml:space="preserve">December </w:t>
      </w:r>
      <w:r w:rsidRPr="001E0050">
        <w:t xml:space="preserve">31, 2015.  </w:t>
      </w:r>
    </w:p>
    <w:p w:rsidR="007B66D4" w:rsidRPr="00DA7921" w:rsidRDefault="00DA7921" w:rsidP="007B66D4">
      <w:pPr>
        <w:spacing w:before="120"/>
        <w:rPr>
          <w:i/>
        </w:rPr>
      </w:pPr>
      <w:r>
        <w:rPr>
          <w:i/>
        </w:rPr>
        <w:t>PJ Keeler exited at 10:27 a.m.</w:t>
      </w:r>
    </w:p>
    <w:p w:rsidR="007B66D4" w:rsidRPr="001E0050" w:rsidRDefault="007B66D4" w:rsidP="007B66D4">
      <w:pPr>
        <w:spacing w:before="120"/>
      </w:pPr>
      <w:r>
        <w:t xml:space="preserve">John Ray, Fiscal Manager, </w:t>
      </w:r>
      <w:r w:rsidRPr="001E0050">
        <w:t>offered the following highlights and explanations:</w:t>
      </w:r>
    </w:p>
    <w:p w:rsidR="00646335" w:rsidRDefault="00646335" w:rsidP="007B66D4">
      <w:pPr>
        <w:pStyle w:val="ListParagraph"/>
        <w:numPr>
          <w:ilvl w:val="0"/>
          <w:numId w:val="4"/>
        </w:numPr>
        <w:spacing w:line="276" w:lineRule="auto"/>
      </w:pPr>
      <w:r>
        <w:t>2015 was a record year for the Consortium with a revenue of $1.6</w:t>
      </w:r>
      <w:r w:rsidR="007B66D4">
        <w:t xml:space="preserve"> million compared to 2014’s $1.38 million.</w:t>
      </w:r>
    </w:p>
    <w:p w:rsidR="007B66D4" w:rsidRDefault="007B66D4" w:rsidP="007B66D4">
      <w:pPr>
        <w:pStyle w:val="ListParagraph"/>
        <w:numPr>
          <w:ilvl w:val="0"/>
          <w:numId w:val="4"/>
        </w:numPr>
        <w:spacing w:line="276" w:lineRule="auto"/>
      </w:pPr>
      <w:r>
        <w:t>The Cancer S</w:t>
      </w:r>
      <w:r w:rsidR="00154F4A">
        <w:t>ervices</w:t>
      </w:r>
      <w:r>
        <w:t xml:space="preserve"> Program received grant renewal documentation from NYSDOH for the next two and a half years at $140,000 per year. The program also received COLA monies in the amount of $11,228. </w:t>
      </w:r>
      <w:r w:rsidR="00154F4A">
        <w:t xml:space="preserve">The first of two </w:t>
      </w:r>
      <w:r w:rsidR="007B4AA6">
        <w:lastRenderedPageBreak/>
        <w:t xml:space="preserve">vouchers for </w:t>
      </w:r>
      <w:r w:rsidR="00154F4A">
        <w:t xml:space="preserve">OTPS expenditures and reimbursement of </w:t>
      </w:r>
      <w:r w:rsidR="007B4AA6">
        <w:t xml:space="preserve">the </w:t>
      </w:r>
      <w:r w:rsidR="00154F4A">
        <w:t>Program Assistant</w:t>
      </w:r>
      <w:r w:rsidR="007B4AA6">
        <w:t>’s</w:t>
      </w:r>
      <w:r w:rsidR="00154F4A">
        <w:t xml:space="preserve"> wages and fringe</w:t>
      </w:r>
      <w:r w:rsidR="007B4AA6">
        <w:t xml:space="preserve"> expenses</w:t>
      </w:r>
      <w:r w:rsidR="00154F4A">
        <w:t xml:space="preserve"> was submitted for payment in the amount of $3,813.</w:t>
      </w:r>
    </w:p>
    <w:p w:rsidR="00154F4A" w:rsidRDefault="00154F4A" w:rsidP="007B66D4">
      <w:pPr>
        <w:pStyle w:val="ListParagraph"/>
        <w:numPr>
          <w:ilvl w:val="0"/>
          <w:numId w:val="4"/>
        </w:numPr>
        <w:spacing w:line="276" w:lineRule="auto"/>
      </w:pPr>
      <w:r>
        <w:t xml:space="preserve">The Tobacco Free Action Program received COLA monies in the amount of $25,584. The first </w:t>
      </w:r>
      <w:r w:rsidR="007B4AA6">
        <w:t>voucher,</w:t>
      </w:r>
      <w:r>
        <w:t xml:space="preserve"> </w:t>
      </w:r>
      <w:r w:rsidR="007B4AA6">
        <w:t>in the amount of $24,661 for OTPS expenditures, was submitted for payment.</w:t>
      </w:r>
    </w:p>
    <w:p w:rsidR="00EE5FA0" w:rsidRDefault="00EE5FA0" w:rsidP="00C1291C">
      <w:pPr>
        <w:pStyle w:val="ListParagraph"/>
        <w:numPr>
          <w:ilvl w:val="0"/>
          <w:numId w:val="4"/>
        </w:numPr>
        <w:spacing w:line="276" w:lineRule="auto"/>
      </w:pPr>
      <w:r>
        <w:t>A</w:t>
      </w:r>
      <w:r w:rsidR="00154F4A">
        <w:t xml:space="preserve"> new budget</w:t>
      </w:r>
      <w:r>
        <w:t xml:space="preserve"> in the amount of $43,987 was submitted NYSOFA</w:t>
      </w:r>
      <w:r w:rsidRPr="00EE5FA0">
        <w:t xml:space="preserve"> </w:t>
      </w:r>
      <w:r>
        <w:t>for the NY Connects Program, Year 10.  The agency is currently awaiting approval.</w:t>
      </w:r>
    </w:p>
    <w:p w:rsidR="00154F4A" w:rsidRDefault="00154F4A" w:rsidP="00C1291C">
      <w:pPr>
        <w:pStyle w:val="ListParagraph"/>
        <w:numPr>
          <w:ilvl w:val="0"/>
          <w:numId w:val="4"/>
        </w:numPr>
        <w:spacing w:line="276" w:lineRule="auto"/>
      </w:pPr>
      <w:r>
        <w:t xml:space="preserve">A new budget and work plan in the amount of $118,589 has been submitted to NYSOFA </w:t>
      </w:r>
      <w:r w:rsidR="00724BB3">
        <w:t xml:space="preserve">for </w:t>
      </w:r>
      <w:r>
        <w:t>the NY</w:t>
      </w:r>
      <w:r w:rsidR="007B4AA6">
        <w:t xml:space="preserve"> </w:t>
      </w:r>
      <w:r>
        <w:t xml:space="preserve">Connects Expansion and Enhancement Program. The agency is </w:t>
      </w:r>
      <w:r w:rsidR="00EE5FA0">
        <w:t xml:space="preserve">currently </w:t>
      </w:r>
      <w:r w:rsidR="00724BB3">
        <w:t>a</w:t>
      </w:r>
      <w:r>
        <w:t xml:space="preserve">waiting </w:t>
      </w:r>
      <w:r w:rsidR="00724BB3">
        <w:t>approval</w:t>
      </w:r>
      <w:r>
        <w:t>.</w:t>
      </w:r>
    </w:p>
    <w:p w:rsidR="00DA7921" w:rsidRDefault="00EE24E0" w:rsidP="007B66D4">
      <w:pPr>
        <w:pStyle w:val="ListParagraph"/>
        <w:numPr>
          <w:ilvl w:val="0"/>
          <w:numId w:val="4"/>
        </w:numPr>
        <w:spacing w:line="276" w:lineRule="auto"/>
      </w:pPr>
      <w:r>
        <w:t>As of December 2015, Operation Unite has submitted vouchers totaling $11,890</w:t>
      </w:r>
      <w:r w:rsidR="00724BB3">
        <w:t xml:space="preserve"> for the Bengali Community Health Worker Project.  At this time, </w:t>
      </w:r>
      <w:r>
        <w:t xml:space="preserve">$4,162 of the $5,000 previously issued advance </w:t>
      </w:r>
      <w:r w:rsidR="00724BB3">
        <w:t xml:space="preserve">has been </w:t>
      </w:r>
      <w:r>
        <w:t xml:space="preserve">recouped. There is an $838 </w:t>
      </w:r>
      <w:r w:rsidR="00724BB3">
        <w:t xml:space="preserve">grant advance </w:t>
      </w:r>
      <w:r>
        <w:t>balance remaining.</w:t>
      </w:r>
    </w:p>
    <w:p w:rsidR="00154F4A" w:rsidRDefault="00724BB3" w:rsidP="007B66D4">
      <w:pPr>
        <w:pStyle w:val="ListParagraph"/>
        <w:numPr>
          <w:ilvl w:val="0"/>
          <w:numId w:val="4"/>
        </w:numPr>
        <w:spacing w:line="276" w:lineRule="auto"/>
      </w:pPr>
      <w:r>
        <w:t xml:space="preserve">Funds in the </w:t>
      </w:r>
      <w:r w:rsidR="00DA7921">
        <w:t xml:space="preserve">TrustCo account </w:t>
      </w:r>
      <w:r>
        <w:t xml:space="preserve">have still not been </w:t>
      </w:r>
      <w:r w:rsidR="00DA7921">
        <w:t>moved to the Bank of Greene County</w:t>
      </w:r>
      <w:r>
        <w:t xml:space="preserve"> account.  The delay appears to be the fault of Trustco</w:t>
      </w:r>
      <w:r w:rsidR="00DA7921">
        <w:t xml:space="preserve">. </w:t>
      </w:r>
      <w:r w:rsidR="00EE24E0">
        <w:t xml:space="preserve"> </w:t>
      </w:r>
    </w:p>
    <w:p w:rsidR="00DA7921" w:rsidRDefault="00DA7921" w:rsidP="00DA7921">
      <w:pPr>
        <w:spacing w:line="276" w:lineRule="auto"/>
      </w:pPr>
    </w:p>
    <w:p w:rsidR="00DA7921" w:rsidRDefault="00DA7921" w:rsidP="00DA7921">
      <w:pPr>
        <w:spacing w:line="276" w:lineRule="auto"/>
        <w:rPr>
          <w:i/>
        </w:rPr>
      </w:pPr>
      <w:r>
        <w:rPr>
          <w:i/>
        </w:rPr>
        <w:t>Beth Schuster exited at 10:45 a.m.</w:t>
      </w:r>
    </w:p>
    <w:p w:rsidR="00DA7921" w:rsidRDefault="00DA7921" w:rsidP="00DA7921">
      <w:pPr>
        <w:spacing w:line="276" w:lineRule="auto"/>
      </w:pPr>
    </w:p>
    <w:p w:rsidR="0083129D" w:rsidRDefault="00724BB3" w:rsidP="00DA7921">
      <w:pPr>
        <w:spacing w:line="276" w:lineRule="auto"/>
      </w:pPr>
      <w:r>
        <w:t>Claire queried the Budget and Finance Committee members about the level of involvement they would like to have in determining the amount</w:t>
      </w:r>
      <w:r w:rsidR="0099411C">
        <w:t>s</w:t>
      </w:r>
      <w:r>
        <w:t xml:space="preserve"> and timing of </w:t>
      </w:r>
      <w:r w:rsidR="0099411C">
        <w:t>transfers from the agency’s operating account into the Bank of Greene County investment account, once established.  As some members of that Committee had already exited, the remaining me</w:t>
      </w:r>
      <w:r w:rsidR="00DA7921">
        <w:t>mbers agreed to defer this to the next Budget and Finance Committee meeting</w:t>
      </w:r>
      <w:r w:rsidR="0099411C">
        <w:t>. However, the general feeling is that this would be left to the discretion of agency staff.</w:t>
      </w:r>
    </w:p>
    <w:p w:rsidR="00EE5FA0" w:rsidRDefault="00EE5FA0" w:rsidP="00DA7921">
      <w:pPr>
        <w:spacing w:line="276" w:lineRule="auto"/>
      </w:pPr>
    </w:p>
    <w:p w:rsidR="0083129D" w:rsidRDefault="0083129D" w:rsidP="00DA7921">
      <w:pPr>
        <w:spacing w:line="276" w:lineRule="auto"/>
      </w:pPr>
      <w:r>
        <w:t xml:space="preserve">Next, members discussed the proposed changes to the section of the Bylaws pertaining to investments. </w:t>
      </w:r>
      <w:r w:rsidR="004113BC">
        <w:t>Members had no concerns with the suggested change. This will be brought to the Board when time permits.</w:t>
      </w:r>
    </w:p>
    <w:p w:rsidR="004113BC" w:rsidRDefault="004113BC" w:rsidP="00DA7921">
      <w:pPr>
        <w:spacing w:line="276" w:lineRule="auto"/>
      </w:pPr>
    </w:p>
    <w:p w:rsidR="004113BC" w:rsidRDefault="004113BC" w:rsidP="00DA7921">
      <w:pPr>
        <w:spacing w:line="276" w:lineRule="auto"/>
      </w:pPr>
      <w:r>
        <w:t>Robin reported that the Bylaws/Membership/Nominating Committee met on January 11</w:t>
      </w:r>
      <w:r w:rsidRPr="004113BC">
        <w:rPr>
          <w:vertAlign w:val="superscript"/>
        </w:rPr>
        <w:t>th</w:t>
      </w:r>
      <w:r>
        <w:t xml:space="preserve"> to discu</w:t>
      </w:r>
      <w:r w:rsidR="0099411C">
        <w:t xml:space="preserve">ss the composition of the Board in the next year.  The Committee also discussed the creation of a Governance Committee, as recommended at the Board Retreat in October.  As the functions of the existing </w:t>
      </w:r>
      <w:r w:rsidR="009807D2">
        <w:t xml:space="preserve">Bylaws/Membership/Nominating Committee </w:t>
      </w:r>
      <w:r w:rsidR="0099411C">
        <w:t>are similar to those of a</w:t>
      </w:r>
      <w:r w:rsidR="009807D2">
        <w:t xml:space="preserve"> Governance Committee</w:t>
      </w:r>
      <w:r w:rsidR="0099411C">
        <w:t xml:space="preserve">, the former proposes to </w:t>
      </w:r>
      <w:r w:rsidR="00EE5FA0">
        <w:t>become</w:t>
      </w:r>
      <w:r w:rsidR="0099411C">
        <w:t xml:space="preserve"> the latter.</w:t>
      </w:r>
      <w:r>
        <w:t xml:space="preserve"> </w:t>
      </w:r>
      <w:r w:rsidR="0099411C">
        <w:t>Provided this meets with the Board’s approval, this would require a bylaws change, to be proposed at a later time.</w:t>
      </w:r>
    </w:p>
    <w:p w:rsidR="004113BC" w:rsidRDefault="004113BC" w:rsidP="00DA7921">
      <w:pPr>
        <w:spacing w:line="276" w:lineRule="auto"/>
      </w:pPr>
    </w:p>
    <w:p w:rsidR="004113BC" w:rsidRDefault="004113BC" w:rsidP="00DA7921">
      <w:pPr>
        <w:spacing w:line="276" w:lineRule="auto"/>
        <w:rPr>
          <w:i/>
        </w:rPr>
      </w:pPr>
      <w:r>
        <w:rPr>
          <w:i/>
        </w:rPr>
        <w:t>Leitha Pierro exited at 10:50 a.m.</w:t>
      </w:r>
    </w:p>
    <w:p w:rsidR="004113BC" w:rsidRDefault="004113BC" w:rsidP="00DA7921">
      <w:pPr>
        <w:spacing w:line="276" w:lineRule="auto"/>
        <w:rPr>
          <w:i/>
        </w:rPr>
      </w:pPr>
    </w:p>
    <w:p w:rsidR="004113BC" w:rsidRDefault="0099411C" w:rsidP="00DA7921">
      <w:pPr>
        <w:spacing w:line="276" w:lineRule="auto"/>
      </w:pPr>
      <w:r>
        <w:t>The Committee received the Executive Director’s</w:t>
      </w:r>
      <w:r w:rsidR="004113BC">
        <w:t xml:space="preserve"> written </w:t>
      </w:r>
      <w:r>
        <w:t>r</w:t>
      </w:r>
      <w:r w:rsidR="004113BC">
        <w:t xml:space="preserve">eport. </w:t>
      </w:r>
      <w:r>
        <w:t xml:space="preserve">It was agreed that from this point forward the same written report will be provided to the Entire Board when it convenes. </w:t>
      </w:r>
      <w:r w:rsidR="004113BC">
        <w:t xml:space="preserve">Claire asked </w:t>
      </w:r>
      <w:r>
        <w:t xml:space="preserve">the </w:t>
      </w:r>
      <w:r w:rsidR="004113BC">
        <w:t>Executive Committee members</w:t>
      </w:r>
      <w:r>
        <w:t xml:space="preserve"> to consider the financial reports provided by John Ray and determine which, if any, they would likely to receive on a monthly basis. The Committee members will review these at their leisure and report back, but in the meantime, they noted that </w:t>
      </w:r>
      <w:r w:rsidR="009807D2">
        <w:t xml:space="preserve">the “Fiscal Highlights” sheet </w:t>
      </w:r>
      <w:r>
        <w:t xml:space="preserve">and the Statement of Revenues Supports and Expenses are probably the most useful. </w:t>
      </w:r>
    </w:p>
    <w:p w:rsidR="004113BC" w:rsidRDefault="004113BC" w:rsidP="00DA7921">
      <w:pPr>
        <w:spacing w:line="276" w:lineRule="auto"/>
      </w:pPr>
    </w:p>
    <w:p w:rsidR="0083129D" w:rsidRDefault="00FE1901" w:rsidP="00DA7921">
      <w:pPr>
        <w:spacing w:line="276" w:lineRule="auto"/>
      </w:pPr>
      <w:r>
        <w:t xml:space="preserve">Claire </w:t>
      </w:r>
      <w:r w:rsidR="005D6892">
        <w:t xml:space="preserve">reported that she has not, as yet, received the updated Executive Director’s Job Description or Evaluation Tool for review and comment.  Consequently, her annual contracting process has also not been completed. </w:t>
      </w:r>
    </w:p>
    <w:p w:rsidR="007B4AA6" w:rsidRDefault="007B4AA6" w:rsidP="00DA7921">
      <w:pPr>
        <w:spacing w:line="276" w:lineRule="auto"/>
      </w:pPr>
    </w:p>
    <w:p w:rsidR="007B4AA6" w:rsidRPr="007B4AA6" w:rsidRDefault="007B4AA6" w:rsidP="00DA7921">
      <w:pPr>
        <w:spacing w:line="276" w:lineRule="auto"/>
        <w:rPr>
          <w:b/>
        </w:rPr>
      </w:pPr>
      <w:r w:rsidRPr="007B4AA6">
        <w:rPr>
          <w:b/>
        </w:rPr>
        <w:t>ADJOURNMENT</w:t>
      </w:r>
    </w:p>
    <w:p w:rsidR="00FE1901" w:rsidRPr="00DA7921" w:rsidRDefault="00FE1901" w:rsidP="00DA7921">
      <w:pPr>
        <w:spacing w:line="276" w:lineRule="auto"/>
      </w:pPr>
      <w:r>
        <w:t>The meeting adjourned at 11 a.m.</w:t>
      </w:r>
    </w:p>
    <w:p w:rsidR="005A524D" w:rsidRPr="008814E1" w:rsidRDefault="005A524D" w:rsidP="005A524D">
      <w:pPr>
        <w:spacing w:line="276" w:lineRule="auto"/>
      </w:pPr>
    </w:p>
    <w:p w:rsidR="005A524D" w:rsidRDefault="005A524D" w:rsidP="005A524D">
      <w:pPr>
        <w:jc w:val="both"/>
        <w:rPr>
          <w:b/>
        </w:rPr>
      </w:pPr>
      <w:r>
        <w:t xml:space="preserve">The next Executive Committee meeting is scheduled for </w:t>
      </w:r>
      <w:r>
        <w:rPr>
          <w:b/>
        </w:rPr>
        <w:t>February 24, 2016.</w:t>
      </w:r>
    </w:p>
    <w:p w:rsidR="005A524D" w:rsidRPr="00BE74E4" w:rsidRDefault="005A524D" w:rsidP="005A524D">
      <w:pPr>
        <w:jc w:val="both"/>
      </w:pPr>
    </w:p>
    <w:p w:rsidR="00FE1901" w:rsidRDefault="005A524D" w:rsidP="00EE5FA0">
      <w:pPr>
        <w:rPr>
          <w:rFonts w:ascii="Arial"/>
          <w:sz w:val="28"/>
          <w:u w:val="single" w:color="000000"/>
        </w:rPr>
      </w:pPr>
      <w:r w:rsidRPr="006B04CB">
        <w:rPr>
          <w:i/>
        </w:rPr>
        <w:t xml:space="preserve">Notes respectfully prepared and submitted by Aleshia Boyle on </w:t>
      </w:r>
      <w:r w:rsidR="00FE1901">
        <w:rPr>
          <w:i/>
        </w:rPr>
        <w:t>January 29, 2016.</w:t>
      </w:r>
    </w:p>
    <w:p w:rsidR="006A170D" w:rsidRDefault="009807D2">
      <w:pPr>
        <w:tabs>
          <w:tab w:val="left" w:pos="10930"/>
        </w:tabs>
        <w:spacing w:before="36"/>
        <w:ind w:left="100" w:right="65"/>
        <w:rPr>
          <w:rFonts w:ascii="Arial" w:eastAsia="Arial" w:hAnsi="Arial" w:cs="Arial"/>
          <w:sz w:val="28"/>
          <w:szCs w:val="28"/>
        </w:rPr>
      </w:pPr>
      <w:r>
        <w:rPr>
          <w:rFonts w:ascii="Arial"/>
          <w:sz w:val="28"/>
          <w:u w:val="single" w:color="000000"/>
        </w:rPr>
        <w:lastRenderedPageBreak/>
        <w:t>HELLER PENSION ASSOCIATES,</w:t>
      </w:r>
      <w:r>
        <w:rPr>
          <w:rFonts w:ascii="Arial"/>
          <w:spacing w:val="-8"/>
          <w:sz w:val="28"/>
          <w:u w:val="single" w:color="000000"/>
        </w:rPr>
        <w:t xml:space="preserve"> </w:t>
      </w:r>
      <w:r>
        <w:rPr>
          <w:rFonts w:ascii="Arial"/>
          <w:sz w:val="28"/>
          <w:u w:val="single" w:color="000000"/>
        </w:rPr>
        <w:t>INC.</w:t>
      </w:r>
      <w:r>
        <w:rPr>
          <w:rFonts w:ascii="Arial"/>
          <w:sz w:val="28"/>
          <w:u w:val="single" w:color="000000"/>
        </w:rPr>
        <w:tab/>
      </w:r>
    </w:p>
    <w:p w:rsidR="006A170D" w:rsidRDefault="009807D2">
      <w:pPr>
        <w:tabs>
          <w:tab w:val="left" w:pos="9989"/>
        </w:tabs>
        <w:spacing w:before="154"/>
        <w:ind w:left="100" w:right="65"/>
        <w:rPr>
          <w:rFonts w:ascii="Arial" w:eastAsia="Arial" w:hAnsi="Arial" w:cs="Arial"/>
          <w:sz w:val="16"/>
          <w:szCs w:val="16"/>
        </w:rPr>
      </w:pPr>
      <w:r>
        <w:rPr>
          <w:rFonts w:ascii="Arial"/>
          <w:sz w:val="20"/>
        </w:rPr>
        <w:t>Todd E. Heller, Esq.,</w:t>
      </w:r>
      <w:r>
        <w:rPr>
          <w:rFonts w:ascii="Arial"/>
          <w:spacing w:val="-11"/>
          <w:sz w:val="20"/>
        </w:rPr>
        <w:t xml:space="preserve"> </w:t>
      </w:r>
      <w:r>
        <w:rPr>
          <w:rFonts w:ascii="Arial"/>
          <w:sz w:val="20"/>
        </w:rPr>
        <w:t>CPC,</w:t>
      </w:r>
      <w:r>
        <w:rPr>
          <w:rFonts w:ascii="Arial"/>
          <w:spacing w:val="-2"/>
          <w:sz w:val="20"/>
        </w:rPr>
        <w:t xml:space="preserve"> </w:t>
      </w:r>
      <w:r>
        <w:rPr>
          <w:rFonts w:ascii="Arial"/>
          <w:sz w:val="20"/>
        </w:rPr>
        <w:t>President</w:t>
      </w:r>
      <w:r>
        <w:rPr>
          <w:rFonts w:ascii="Arial"/>
          <w:sz w:val="20"/>
        </w:rPr>
        <w:tab/>
      </w:r>
      <w:r>
        <w:rPr>
          <w:rFonts w:ascii="Arial"/>
          <w:sz w:val="16"/>
        </w:rPr>
        <w:t>1363 Rt.</w:t>
      </w:r>
      <w:r>
        <w:rPr>
          <w:rFonts w:ascii="Arial"/>
          <w:spacing w:val="-6"/>
          <w:sz w:val="16"/>
        </w:rPr>
        <w:t xml:space="preserve"> </w:t>
      </w:r>
      <w:r>
        <w:rPr>
          <w:rFonts w:ascii="Arial"/>
          <w:sz w:val="16"/>
        </w:rPr>
        <w:t>9G</w:t>
      </w:r>
    </w:p>
    <w:p w:rsidR="006A170D" w:rsidRDefault="009807D2">
      <w:pPr>
        <w:tabs>
          <w:tab w:val="left" w:pos="9277"/>
        </w:tabs>
        <w:ind w:left="100" w:right="65"/>
        <w:rPr>
          <w:rFonts w:ascii="Arial" w:eastAsia="Arial" w:hAnsi="Arial" w:cs="Arial"/>
          <w:sz w:val="16"/>
          <w:szCs w:val="16"/>
        </w:rPr>
      </w:pPr>
      <w:r>
        <w:rPr>
          <w:rFonts w:ascii="Arial"/>
          <w:sz w:val="20"/>
        </w:rPr>
        <w:t>Jennifer Van Wagner,</w:t>
      </w:r>
      <w:r>
        <w:rPr>
          <w:rFonts w:ascii="Arial"/>
          <w:spacing w:val="-12"/>
          <w:sz w:val="20"/>
        </w:rPr>
        <w:t xml:space="preserve"> </w:t>
      </w:r>
      <w:r>
        <w:rPr>
          <w:rFonts w:ascii="Arial"/>
          <w:sz w:val="20"/>
        </w:rPr>
        <w:t>CPC,</w:t>
      </w:r>
      <w:r>
        <w:rPr>
          <w:rFonts w:ascii="Arial"/>
          <w:spacing w:val="-3"/>
          <w:sz w:val="20"/>
        </w:rPr>
        <w:t xml:space="preserve"> </w:t>
      </w:r>
      <w:r>
        <w:rPr>
          <w:rFonts w:ascii="Arial"/>
          <w:sz w:val="20"/>
        </w:rPr>
        <w:t>Vice-President</w:t>
      </w:r>
      <w:r>
        <w:rPr>
          <w:rFonts w:ascii="Arial"/>
          <w:sz w:val="20"/>
        </w:rPr>
        <w:tab/>
      </w:r>
      <w:r>
        <w:rPr>
          <w:rFonts w:ascii="Arial"/>
          <w:sz w:val="16"/>
        </w:rPr>
        <w:t xml:space="preserve">Hyde Park, </w:t>
      </w:r>
      <w:r>
        <w:rPr>
          <w:rFonts w:ascii="Arial"/>
          <w:sz w:val="14"/>
        </w:rPr>
        <w:t>N.Y</w:t>
      </w:r>
      <w:r>
        <w:rPr>
          <w:rFonts w:ascii="Arial"/>
          <w:sz w:val="16"/>
        </w:rPr>
        <w:t>.</w:t>
      </w:r>
      <w:r>
        <w:rPr>
          <w:rFonts w:ascii="Arial"/>
          <w:spacing w:val="-7"/>
          <w:sz w:val="16"/>
        </w:rPr>
        <w:t xml:space="preserve"> </w:t>
      </w:r>
      <w:r>
        <w:rPr>
          <w:rFonts w:ascii="Arial"/>
          <w:sz w:val="16"/>
        </w:rPr>
        <w:t>12538</w:t>
      </w:r>
    </w:p>
    <w:p w:rsidR="006A170D" w:rsidRDefault="009807D2">
      <w:pPr>
        <w:tabs>
          <w:tab w:val="left" w:pos="9776"/>
        </w:tabs>
        <w:spacing w:before="1" w:line="229" w:lineRule="exact"/>
        <w:ind w:left="100" w:right="65"/>
        <w:rPr>
          <w:rFonts w:ascii="Arial" w:eastAsia="Arial" w:hAnsi="Arial" w:cs="Arial"/>
          <w:sz w:val="16"/>
          <w:szCs w:val="16"/>
        </w:rPr>
      </w:pPr>
      <w:r>
        <w:rPr>
          <w:rFonts w:ascii="Arial"/>
          <w:sz w:val="20"/>
        </w:rPr>
        <w:t>Jeffrey L. Heller,</w:t>
      </w:r>
      <w:r>
        <w:rPr>
          <w:rFonts w:ascii="Arial"/>
          <w:spacing w:val="-9"/>
          <w:sz w:val="20"/>
        </w:rPr>
        <w:t xml:space="preserve"> </w:t>
      </w:r>
      <w:r>
        <w:rPr>
          <w:rFonts w:ascii="Arial"/>
          <w:sz w:val="20"/>
        </w:rPr>
        <w:t>CPC,</w:t>
      </w:r>
      <w:r>
        <w:rPr>
          <w:rFonts w:ascii="Arial"/>
          <w:spacing w:val="-2"/>
          <w:sz w:val="20"/>
        </w:rPr>
        <w:t xml:space="preserve"> </w:t>
      </w:r>
      <w:r>
        <w:rPr>
          <w:rFonts w:ascii="Arial"/>
          <w:sz w:val="20"/>
        </w:rPr>
        <w:t>Consultant</w:t>
      </w:r>
      <w:r>
        <w:rPr>
          <w:rFonts w:ascii="Arial"/>
          <w:sz w:val="20"/>
        </w:rPr>
        <w:tab/>
      </w:r>
      <w:r>
        <w:rPr>
          <w:rFonts w:ascii="Arial"/>
          <w:sz w:val="16"/>
        </w:rPr>
        <w:t>(845)</w:t>
      </w:r>
      <w:r>
        <w:rPr>
          <w:rFonts w:ascii="Arial"/>
          <w:spacing w:val="-7"/>
          <w:sz w:val="16"/>
        </w:rPr>
        <w:t xml:space="preserve"> </w:t>
      </w:r>
      <w:r>
        <w:rPr>
          <w:rFonts w:ascii="Arial"/>
          <w:sz w:val="16"/>
        </w:rPr>
        <w:t>229-2100</w:t>
      </w:r>
    </w:p>
    <w:p w:rsidR="006A170D" w:rsidRDefault="009807D2">
      <w:pPr>
        <w:spacing w:line="183" w:lineRule="exact"/>
        <w:ind w:right="181"/>
        <w:jc w:val="right"/>
        <w:rPr>
          <w:rFonts w:ascii="Arial" w:eastAsia="Arial" w:hAnsi="Arial" w:cs="Arial"/>
          <w:sz w:val="16"/>
          <w:szCs w:val="16"/>
        </w:rPr>
      </w:pPr>
      <w:r>
        <w:rPr>
          <w:rFonts w:ascii="Arial"/>
          <w:sz w:val="16"/>
        </w:rPr>
        <w:t>Fax (845)</w:t>
      </w:r>
      <w:r>
        <w:rPr>
          <w:rFonts w:ascii="Arial"/>
          <w:spacing w:val="-9"/>
          <w:sz w:val="16"/>
        </w:rPr>
        <w:t xml:space="preserve"> </w:t>
      </w:r>
      <w:r>
        <w:rPr>
          <w:rFonts w:ascii="Arial"/>
          <w:sz w:val="16"/>
        </w:rPr>
        <w:t>229-2302</w:t>
      </w:r>
    </w:p>
    <w:p w:rsidR="006A170D" w:rsidRDefault="009807D2">
      <w:pPr>
        <w:pStyle w:val="BodyText"/>
        <w:tabs>
          <w:tab w:val="left" w:pos="820"/>
        </w:tabs>
        <w:spacing w:before="1"/>
        <w:ind w:right="65"/>
      </w:pPr>
      <w:r>
        <w:rPr>
          <w:spacing w:val="-1"/>
        </w:rPr>
        <w:t>Date:</w:t>
      </w:r>
      <w:r>
        <w:rPr>
          <w:spacing w:val="-1"/>
        </w:rPr>
        <w:tab/>
      </w:r>
      <w:r>
        <w:t xml:space="preserve">January </w:t>
      </w:r>
      <w:r>
        <w:rPr>
          <w:spacing w:val="-1"/>
        </w:rPr>
        <w:t>12,</w:t>
      </w:r>
      <w:r>
        <w:rPr>
          <w:spacing w:val="-3"/>
        </w:rPr>
        <w:t xml:space="preserve"> </w:t>
      </w:r>
      <w:r>
        <w:t>2016</w:t>
      </w:r>
    </w:p>
    <w:p w:rsidR="006A170D" w:rsidRDefault="009807D2">
      <w:pPr>
        <w:pStyle w:val="BodyText"/>
        <w:tabs>
          <w:tab w:val="left" w:pos="820"/>
        </w:tabs>
        <w:ind w:right="4172"/>
      </w:pPr>
      <w:r>
        <w:t>To:</w:t>
      </w:r>
      <w:r>
        <w:tab/>
        <w:t>Columbia County Community Healthcare Consortium,</w:t>
      </w:r>
      <w:r>
        <w:rPr>
          <w:spacing w:val="-15"/>
        </w:rPr>
        <w:t xml:space="preserve"> </w:t>
      </w:r>
      <w:r>
        <w:t>Inc.</w:t>
      </w:r>
      <w:r>
        <w:rPr>
          <w:spacing w:val="1"/>
        </w:rPr>
        <w:t xml:space="preserve"> </w:t>
      </w:r>
      <w:r>
        <w:t>(CCCHC)</w:t>
      </w:r>
      <w:r>
        <w:rPr>
          <w:w w:val="99"/>
        </w:rPr>
        <w:t xml:space="preserve"> </w:t>
      </w:r>
      <w:r>
        <w:t>From:   Todd E. Heller, Esq.,</w:t>
      </w:r>
      <w:r>
        <w:rPr>
          <w:spacing w:val="22"/>
        </w:rPr>
        <w:t xml:space="preserve"> </w:t>
      </w:r>
      <w:r>
        <w:t>CPC</w:t>
      </w:r>
    </w:p>
    <w:p w:rsidR="006A170D" w:rsidRDefault="009807D2">
      <w:pPr>
        <w:pStyle w:val="BodyText"/>
        <w:tabs>
          <w:tab w:val="left" w:pos="820"/>
        </w:tabs>
        <w:ind w:right="65"/>
      </w:pPr>
      <w:r>
        <w:rPr>
          <w:w w:val="95"/>
        </w:rPr>
        <w:t>Re:</w:t>
      </w:r>
      <w:r>
        <w:rPr>
          <w:w w:val="95"/>
        </w:rPr>
        <w:tab/>
      </w:r>
      <w:r>
        <w:t>Proposal for 401(k)</w:t>
      </w:r>
      <w:r>
        <w:rPr>
          <w:spacing w:val="-9"/>
        </w:rPr>
        <w:t xml:space="preserve"> </w:t>
      </w:r>
      <w:r>
        <w:t>Plan</w:t>
      </w:r>
    </w:p>
    <w:p w:rsidR="006A170D" w:rsidRDefault="006A170D">
      <w:pPr>
        <w:spacing w:before="8"/>
        <w:rPr>
          <w:rFonts w:ascii="Arial" w:eastAsia="Arial" w:hAnsi="Arial" w:cs="Arial"/>
          <w:sz w:val="19"/>
          <w:szCs w:val="19"/>
        </w:rPr>
      </w:pPr>
    </w:p>
    <w:p w:rsidR="006A170D" w:rsidRDefault="009807D2">
      <w:pPr>
        <w:pStyle w:val="Heading1"/>
        <w:numPr>
          <w:ilvl w:val="0"/>
          <w:numId w:val="3"/>
        </w:numPr>
        <w:tabs>
          <w:tab w:val="left" w:pos="321"/>
        </w:tabs>
        <w:ind w:hanging="220"/>
        <w:rPr>
          <w:b w:val="0"/>
          <w:bCs w:val="0"/>
        </w:rPr>
      </w:pPr>
      <w:r>
        <w:t>PLAN</w:t>
      </w:r>
      <w:r>
        <w:rPr>
          <w:spacing w:val="-4"/>
        </w:rPr>
        <w:t xml:space="preserve"> </w:t>
      </w:r>
      <w:r>
        <w:t>SUMMARY</w:t>
      </w:r>
    </w:p>
    <w:p w:rsidR="006A170D" w:rsidRDefault="006A170D">
      <w:pPr>
        <w:spacing w:before="3"/>
        <w:rPr>
          <w:rFonts w:ascii="Arial" w:eastAsia="Arial" w:hAnsi="Arial" w:cs="Arial"/>
          <w:b/>
          <w:bCs/>
          <w:sz w:val="20"/>
          <w:szCs w:val="20"/>
        </w:rPr>
      </w:pPr>
    </w:p>
    <w:p w:rsidR="006A170D" w:rsidRDefault="009807D2">
      <w:pPr>
        <w:pStyle w:val="ListParagraph"/>
        <w:numPr>
          <w:ilvl w:val="0"/>
          <w:numId w:val="2"/>
        </w:numPr>
        <w:tabs>
          <w:tab w:val="left" w:pos="343"/>
        </w:tabs>
        <w:ind w:firstLine="0"/>
        <w:rPr>
          <w:rFonts w:ascii="Arial" w:eastAsia="Arial" w:hAnsi="Arial" w:cs="Arial"/>
          <w:sz w:val="20"/>
          <w:szCs w:val="20"/>
        </w:rPr>
      </w:pPr>
      <w:r>
        <w:rPr>
          <w:rFonts w:ascii="Arial"/>
          <w:sz w:val="20"/>
          <w:u w:val="single" w:color="000000"/>
        </w:rPr>
        <w:t>Type of Plan</w:t>
      </w:r>
      <w:r>
        <w:rPr>
          <w:rFonts w:ascii="Arial"/>
          <w:sz w:val="20"/>
        </w:rPr>
        <w:t>:  "Traditional" 401(k) Plan for the Plan Year Ending December 31,</w:t>
      </w:r>
      <w:r>
        <w:rPr>
          <w:rFonts w:ascii="Arial"/>
          <w:spacing w:val="-16"/>
          <w:sz w:val="20"/>
        </w:rPr>
        <w:t xml:space="preserve"> </w:t>
      </w:r>
      <w:r>
        <w:rPr>
          <w:rFonts w:ascii="Arial"/>
          <w:sz w:val="20"/>
        </w:rPr>
        <w:t>2016.</w:t>
      </w:r>
    </w:p>
    <w:p w:rsidR="006A170D" w:rsidRDefault="006A170D">
      <w:pPr>
        <w:spacing w:before="10"/>
        <w:rPr>
          <w:rFonts w:ascii="Arial" w:eastAsia="Arial" w:hAnsi="Arial" w:cs="Arial"/>
          <w:sz w:val="19"/>
          <w:szCs w:val="19"/>
        </w:rPr>
      </w:pPr>
    </w:p>
    <w:p w:rsidR="006A170D" w:rsidRDefault="009807D2">
      <w:pPr>
        <w:pStyle w:val="ListParagraph"/>
        <w:numPr>
          <w:ilvl w:val="0"/>
          <w:numId w:val="2"/>
        </w:numPr>
        <w:tabs>
          <w:tab w:val="left" w:pos="343"/>
        </w:tabs>
        <w:ind w:right="206" w:firstLine="0"/>
        <w:rPr>
          <w:rFonts w:ascii="Arial" w:eastAsia="Arial" w:hAnsi="Arial" w:cs="Arial"/>
          <w:sz w:val="20"/>
          <w:szCs w:val="20"/>
        </w:rPr>
      </w:pPr>
      <w:r>
        <w:rPr>
          <w:rFonts w:ascii="Arial"/>
          <w:sz w:val="20"/>
          <w:u w:val="single" w:color="000000"/>
        </w:rPr>
        <w:t>Eligibility</w:t>
      </w:r>
      <w:r>
        <w:rPr>
          <w:rFonts w:ascii="Arial"/>
          <w:sz w:val="20"/>
        </w:rPr>
        <w:t>. One month of service and attainment of age 21 for all contributions. Per-Diem Employees will be excluded. Eligible employees enter the plan on the first day of the month coincident with or next following the completion of the plan's eligibility</w:t>
      </w:r>
      <w:r>
        <w:rPr>
          <w:rFonts w:ascii="Arial"/>
          <w:spacing w:val="-10"/>
          <w:sz w:val="20"/>
        </w:rPr>
        <w:t xml:space="preserve"> </w:t>
      </w:r>
      <w:r>
        <w:rPr>
          <w:rFonts w:ascii="Arial"/>
          <w:sz w:val="20"/>
        </w:rPr>
        <w:t>requirements.</w:t>
      </w:r>
    </w:p>
    <w:p w:rsidR="006A170D" w:rsidRDefault="006A170D">
      <w:pPr>
        <w:spacing w:before="1"/>
        <w:rPr>
          <w:rFonts w:ascii="Arial" w:eastAsia="Arial" w:hAnsi="Arial" w:cs="Arial"/>
          <w:sz w:val="20"/>
          <w:szCs w:val="20"/>
        </w:rPr>
      </w:pPr>
    </w:p>
    <w:p w:rsidR="006A170D" w:rsidRDefault="009807D2">
      <w:pPr>
        <w:pStyle w:val="ListParagraph"/>
        <w:numPr>
          <w:ilvl w:val="0"/>
          <w:numId w:val="2"/>
        </w:numPr>
        <w:tabs>
          <w:tab w:val="left" w:pos="355"/>
        </w:tabs>
        <w:ind w:left="354" w:hanging="254"/>
        <w:rPr>
          <w:rFonts w:ascii="Arial" w:eastAsia="Arial" w:hAnsi="Arial" w:cs="Arial"/>
          <w:sz w:val="20"/>
          <w:szCs w:val="20"/>
        </w:rPr>
      </w:pPr>
      <w:r>
        <w:rPr>
          <w:rFonts w:ascii="Arial"/>
          <w:sz w:val="20"/>
          <w:u w:val="single" w:color="000000"/>
        </w:rPr>
        <w:t>Vesting</w:t>
      </w:r>
      <w:r>
        <w:rPr>
          <w:rFonts w:ascii="Arial"/>
          <w:sz w:val="20"/>
        </w:rPr>
        <w:t>.  For All Plan Contributions:  100%</w:t>
      </w:r>
      <w:r>
        <w:rPr>
          <w:rFonts w:ascii="Arial"/>
          <w:spacing w:val="-13"/>
          <w:sz w:val="20"/>
        </w:rPr>
        <w:t xml:space="preserve"> </w:t>
      </w:r>
      <w:r>
        <w:rPr>
          <w:rFonts w:ascii="Arial"/>
          <w:sz w:val="20"/>
        </w:rPr>
        <w:t>Immediate.</w:t>
      </w:r>
    </w:p>
    <w:p w:rsidR="006A170D" w:rsidRDefault="006A170D">
      <w:pPr>
        <w:spacing w:before="10"/>
        <w:rPr>
          <w:rFonts w:ascii="Arial" w:eastAsia="Arial" w:hAnsi="Arial" w:cs="Arial"/>
          <w:sz w:val="19"/>
          <w:szCs w:val="19"/>
        </w:rPr>
      </w:pPr>
    </w:p>
    <w:p w:rsidR="006A170D" w:rsidRDefault="009807D2">
      <w:pPr>
        <w:pStyle w:val="ListParagraph"/>
        <w:numPr>
          <w:ilvl w:val="0"/>
          <w:numId w:val="2"/>
        </w:numPr>
        <w:tabs>
          <w:tab w:val="left" w:pos="410"/>
        </w:tabs>
        <w:ind w:right="334" w:firstLine="0"/>
        <w:rPr>
          <w:rFonts w:ascii="Arial" w:eastAsia="Arial" w:hAnsi="Arial" w:cs="Arial"/>
          <w:sz w:val="20"/>
          <w:szCs w:val="20"/>
        </w:rPr>
      </w:pPr>
      <w:r>
        <w:rPr>
          <w:rFonts w:ascii="Arial"/>
          <w:sz w:val="20"/>
          <w:u w:val="single" w:color="000000"/>
        </w:rPr>
        <w:t>Employee 401(k) Deferral Contributions</w:t>
      </w:r>
      <w:r>
        <w:rPr>
          <w:rFonts w:ascii="Arial"/>
          <w:sz w:val="20"/>
        </w:rPr>
        <w:t>. The plan will allow eligible employees to make elective 401(k) deferral contributions from payroll withholding on a pre-tax basis or "Roth" (after-tax) basis. The annual 401(k) deferral limitation for the 2016 calendar year is 18,000, or $24,000 for anyone age 50 or older by December 31,</w:t>
      </w:r>
      <w:r>
        <w:rPr>
          <w:rFonts w:ascii="Arial"/>
          <w:spacing w:val="-28"/>
          <w:sz w:val="20"/>
        </w:rPr>
        <w:t xml:space="preserve"> </w:t>
      </w:r>
      <w:r>
        <w:rPr>
          <w:rFonts w:ascii="Arial"/>
          <w:sz w:val="20"/>
        </w:rPr>
        <w:t>2016.</w:t>
      </w:r>
    </w:p>
    <w:p w:rsidR="006A170D" w:rsidRDefault="006A170D">
      <w:pPr>
        <w:spacing w:before="1"/>
        <w:rPr>
          <w:rFonts w:ascii="Arial" w:eastAsia="Arial" w:hAnsi="Arial" w:cs="Arial"/>
          <w:sz w:val="20"/>
          <w:szCs w:val="20"/>
        </w:rPr>
      </w:pPr>
    </w:p>
    <w:p w:rsidR="006A170D" w:rsidRDefault="009807D2">
      <w:pPr>
        <w:pStyle w:val="ListParagraph"/>
        <w:numPr>
          <w:ilvl w:val="0"/>
          <w:numId w:val="2"/>
        </w:numPr>
        <w:tabs>
          <w:tab w:val="left" w:pos="398"/>
        </w:tabs>
        <w:ind w:right="311" w:firstLine="0"/>
        <w:rPr>
          <w:rFonts w:ascii="Arial" w:eastAsia="Arial" w:hAnsi="Arial" w:cs="Arial"/>
          <w:sz w:val="20"/>
          <w:szCs w:val="20"/>
        </w:rPr>
      </w:pPr>
      <w:r>
        <w:rPr>
          <w:rFonts w:ascii="Arial"/>
          <w:sz w:val="20"/>
          <w:u w:val="single" w:color="000000"/>
        </w:rPr>
        <w:t>Discretionary Employer Contributions</w:t>
      </w:r>
      <w:r>
        <w:rPr>
          <w:rFonts w:ascii="Arial"/>
          <w:sz w:val="20"/>
        </w:rPr>
        <w:t>: CCCHC will also have the option of making additional employer contributions, which can be either matching, nonelective (i.e., not based on an employee's participation), or both. Our firm will provide the agency with these options annually, which may be deposited after the end of the applicable plan year. The plan will allow CCCHC to determine the annual allocation of any such nonelective contribution on a per-participant</w:t>
      </w:r>
      <w:r>
        <w:rPr>
          <w:rFonts w:ascii="Arial"/>
          <w:spacing w:val="-31"/>
          <w:sz w:val="20"/>
        </w:rPr>
        <w:t xml:space="preserve"> </w:t>
      </w:r>
      <w:r>
        <w:rPr>
          <w:rFonts w:ascii="Arial"/>
          <w:sz w:val="20"/>
        </w:rPr>
        <w:t>basis.</w:t>
      </w:r>
    </w:p>
    <w:p w:rsidR="006A170D" w:rsidRDefault="006A170D">
      <w:pPr>
        <w:spacing w:before="10"/>
        <w:rPr>
          <w:rFonts w:ascii="Arial" w:eastAsia="Arial" w:hAnsi="Arial" w:cs="Arial"/>
          <w:sz w:val="19"/>
          <w:szCs w:val="19"/>
        </w:rPr>
      </w:pPr>
    </w:p>
    <w:p w:rsidR="006A170D" w:rsidRDefault="009807D2">
      <w:pPr>
        <w:pStyle w:val="Heading1"/>
        <w:numPr>
          <w:ilvl w:val="0"/>
          <w:numId w:val="3"/>
        </w:numPr>
        <w:tabs>
          <w:tab w:val="left" w:pos="377"/>
        </w:tabs>
        <w:ind w:left="376" w:hanging="276"/>
        <w:rPr>
          <w:b w:val="0"/>
          <w:bCs w:val="0"/>
        </w:rPr>
      </w:pPr>
      <w:r>
        <w:t>SERVICES AND</w:t>
      </w:r>
      <w:r>
        <w:rPr>
          <w:spacing w:val="-5"/>
        </w:rPr>
        <w:t xml:space="preserve"> </w:t>
      </w:r>
      <w:r>
        <w:t>FEES</w:t>
      </w:r>
    </w:p>
    <w:p w:rsidR="006A170D" w:rsidRDefault="006A170D">
      <w:pPr>
        <w:spacing w:before="1"/>
        <w:rPr>
          <w:rFonts w:ascii="Arial" w:eastAsia="Arial" w:hAnsi="Arial" w:cs="Arial"/>
          <w:b/>
          <w:bCs/>
          <w:sz w:val="20"/>
          <w:szCs w:val="20"/>
        </w:rPr>
      </w:pPr>
    </w:p>
    <w:p w:rsidR="006A170D" w:rsidRDefault="009807D2">
      <w:pPr>
        <w:pStyle w:val="ListParagraph"/>
        <w:numPr>
          <w:ilvl w:val="0"/>
          <w:numId w:val="1"/>
        </w:numPr>
        <w:tabs>
          <w:tab w:val="left" w:pos="343"/>
        </w:tabs>
        <w:ind w:firstLine="0"/>
        <w:rPr>
          <w:rFonts w:ascii="Arial" w:eastAsia="Arial" w:hAnsi="Arial" w:cs="Arial"/>
          <w:sz w:val="20"/>
          <w:szCs w:val="20"/>
        </w:rPr>
      </w:pPr>
      <w:r>
        <w:rPr>
          <w:rFonts w:ascii="Arial"/>
          <w:sz w:val="20"/>
        </w:rPr>
        <w:t>The plan administrative service includes the following and is covered by our annual administrative</w:t>
      </w:r>
      <w:r>
        <w:rPr>
          <w:rFonts w:ascii="Arial"/>
          <w:spacing w:val="-29"/>
          <w:sz w:val="20"/>
        </w:rPr>
        <w:t xml:space="preserve"> </w:t>
      </w:r>
      <w:r>
        <w:rPr>
          <w:rFonts w:ascii="Arial"/>
          <w:sz w:val="20"/>
        </w:rPr>
        <w:t>fee:</w:t>
      </w:r>
    </w:p>
    <w:p w:rsidR="006A170D" w:rsidRDefault="006A170D">
      <w:pPr>
        <w:spacing w:before="1"/>
        <w:rPr>
          <w:rFonts w:ascii="Arial" w:eastAsia="Arial" w:hAnsi="Arial" w:cs="Arial"/>
          <w:sz w:val="20"/>
          <w:szCs w:val="20"/>
        </w:rPr>
      </w:pPr>
    </w:p>
    <w:p w:rsidR="006A170D" w:rsidRDefault="009807D2">
      <w:pPr>
        <w:pStyle w:val="ListParagraph"/>
        <w:numPr>
          <w:ilvl w:val="1"/>
          <w:numId w:val="1"/>
        </w:numPr>
        <w:tabs>
          <w:tab w:val="left" w:pos="1181"/>
        </w:tabs>
        <w:ind w:hanging="720"/>
        <w:rPr>
          <w:rFonts w:ascii="Arial" w:eastAsia="Arial" w:hAnsi="Arial" w:cs="Arial"/>
          <w:sz w:val="20"/>
          <w:szCs w:val="20"/>
        </w:rPr>
      </w:pPr>
      <w:r>
        <w:rPr>
          <w:rFonts w:ascii="Arial"/>
          <w:sz w:val="20"/>
        </w:rPr>
        <w:t>Annual Plan Valuations and Participant</w:t>
      </w:r>
      <w:r>
        <w:rPr>
          <w:rFonts w:ascii="Arial"/>
          <w:spacing w:val="-16"/>
          <w:sz w:val="20"/>
        </w:rPr>
        <w:t xml:space="preserve"> </w:t>
      </w:r>
      <w:r>
        <w:rPr>
          <w:rFonts w:ascii="Arial"/>
          <w:sz w:val="20"/>
        </w:rPr>
        <w:t>Statements;</w:t>
      </w:r>
    </w:p>
    <w:p w:rsidR="006A170D" w:rsidRDefault="009807D2">
      <w:pPr>
        <w:pStyle w:val="ListParagraph"/>
        <w:numPr>
          <w:ilvl w:val="1"/>
          <w:numId w:val="1"/>
        </w:numPr>
        <w:tabs>
          <w:tab w:val="left" w:pos="1181"/>
        </w:tabs>
        <w:ind w:hanging="720"/>
        <w:rPr>
          <w:rFonts w:ascii="Arial" w:eastAsia="Arial" w:hAnsi="Arial" w:cs="Arial"/>
          <w:sz w:val="20"/>
          <w:szCs w:val="20"/>
        </w:rPr>
      </w:pPr>
      <w:r>
        <w:rPr>
          <w:rFonts w:ascii="Arial"/>
          <w:sz w:val="20"/>
        </w:rPr>
        <w:t>Annual IRS/DOL Returns (i.e., Form 5500</w:t>
      </w:r>
      <w:r>
        <w:rPr>
          <w:rFonts w:ascii="Arial"/>
          <w:spacing w:val="-17"/>
          <w:sz w:val="20"/>
        </w:rPr>
        <w:t xml:space="preserve"> </w:t>
      </w:r>
      <w:r>
        <w:rPr>
          <w:rFonts w:ascii="Arial"/>
          <w:sz w:val="20"/>
        </w:rPr>
        <w:t>Returns);</w:t>
      </w:r>
    </w:p>
    <w:p w:rsidR="006A170D" w:rsidRDefault="009807D2">
      <w:pPr>
        <w:pStyle w:val="ListParagraph"/>
        <w:numPr>
          <w:ilvl w:val="1"/>
          <w:numId w:val="1"/>
        </w:numPr>
        <w:tabs>
          <w:tab w:val="left" w:pos="1181"/>
        </w:tabs>
        <w:ind w:hanging="720"/>
        <w:rPr>
          <w:rFonts w:ascii="Arial" w:eastAsia="Arial" w:hAnsi="Arial" w:cs="Arial"/>
          <w:sz w:val="20"/>
          <w:szCs w:val="20"/>
        </w:rPr>
      </w:pPr>
      <w:r>
        <w:rPr>
          <w:rFonts w:ascii="Arial"/>
          <w:sz w:val="20"/>
        </w:rPr>
        <w:t>Paperwork Associated with Plan Distributions, including 1099R Forms and 945</w:t>
      </w:r>
      <w:r>
        <w:rPr>
          <w:rFonts w:ascii="Arial"/>
          <w:spacing w:val="-22"/>
          <w:sz w:val="20"/>
        </w:rPr>
        <w:t xml:space="preserve"> </w:t>
      </w:r>
      <w:r>
        <w:rPr>
          <w:rFonts w:ascii="Arial"/>
          <w:sz w:val="20"/>
        </w:rPr>
        <w:t>Returns;</w:t>
      </w:r>
    </w:p>
    <w:p w:rsidR="006A170D" w:rsidRDefault="009807D2">
      <w:pPr>
        <w:pStyle w:val="ListParagraph"/>
        <w:numPr>
          <w:ilvl w:val="1"/>
          <w:numId w:val="1"/>
        </w:numPr>
        <w:tabs>
          <w:tab w:val="left" w:pos="1181"/>
        </w:tabs>
        <w:spacing w:line="229" w:lineRule="exact"/>
        <w:ind w:hanging="720"/>
        <w:rPr>
          <w:rFonts w:ascii="Arial" w:eastAsia="Arial" w:hAnsi="Arial" w:cs="Arial"/>
          <w:sz w:val="20"/>
          <w:szCs w:val="20"/>
        </w:rPr>
      </w:pPr>
      <w:r>
        <w:rPr>
          <w:rFonts w:ascii="Arial"/>
          <w:sz w:val="20"/>
        </w:rPr>
        <w:t>Participant Loan Agreements and Recordkeeping (if</w:t>
      </w:r>
      <w:r>
        <w:rPr>
          <w:rFonts w:ascii="Arial"/>
          <w:spacing w:val="-19"/>
          <w:sz w:val="20"/>
        </w:rPr>
        <w:t xml:space="preserve"> </w:t>
      </w:r>
      <w:r>
        <w:rPr>
          <w:rFonts w:ascii="Arial"/>
          <w:sz w:val="20"/>
        </w:rPr>
        <w:t>applicable);</w:t>
      </w:r>
    </w:p>
    <w:p w:rsidR="006A170D" w:rsidRDefault="009807D2">
      <w:pPr>
        <w:pStyle w:val="ListParagraph"/>
        <w:numPr>
          <w:ilvl w:val="1"/>
          <w:numId w:val="1"/>
        </w:numPr>
        <w:tabs>
          <w:tab w:val="left" w:pos="1181"/>
        </w:tabs>
        <w:spacing w:line="229" w:lineRule="exact"/>
        <w:ind w:hanging="720"/>
        <w:rPr>
          <w:rFonts w:ascii="Arial" w:eastAsia="Arial" w:hAnsi="Arial" w:cs="Arial"/>
          <w:sz w:val="20"/>
          <w:szCs w:val="20"/>
        </w:rPr>
      </w:pPr>
      <w:r>
        <w:rPr>
          <w:rFonts w:ascii="Arial"/>
          <w:sz w:val="20"/>
        </w:rPr>
        <w:t>Nondiscrimination</w:t>
      </w:r>
      <w:r>
        <w:rPr>
          <w:rFonts w:ascii="Arial"/>
          <w:spacing w:val="-9"/>
          <w:sz w:val="20"/>
        </w:rPr>
        <w:t xml:space="preserve"> </w:t>
      </w:r>
      <w:r>
        <w:rPr>
          <w:rFonts w:ascii="Arial"/>
          <w:sz w:val="20"/>
        </w:rPr>
        <w:t>Testing;</w:t>
      </w:r>
    </w:p>
    <w:p w:rsidR="006A170D" w:rsidRDefault="009807D2">
      <w:pPr>
        <w:pStyle w:val="ListParagraph"/>
        <w:numPr>
          <w:ilvl w:val="1"/>
          <w:numId w:val="1"/>
        </w:numPr>
        <w:tabs>
          <w:tab w:val="left" w:pos="1181"/>
        </w:tabs>
        <w:ind w:hanging="720"/>
        <w:rPr>
          <w:rFonts w:ascii="Arial" w:eastAsia="Arial" w:hAnsi="Arial" w:cs="Arial"/>
          <w:sz w:val="20"/>
          <w:szCs w:val="20"/>
        </w:rPr>
      </w:pPr>
      <w:r>
        <w:rPr>
          <w:rFonts w:ascii="Arial"/>
          <w:sz w:val="20"/>
        </w:rPr>
        <w:t>Determination of Plan Eligibility and Calculation of Plan</w:t>
      </w:r>
      <w:r>
        <w:rPr>
          <w:rFonts w:ascii="Arial"/>
          <w:spacing w:val="-23"/>
          <w:sz w:val="20"/>
        </w:rPr>
        <w:t xml:space="preserve"> </w:t>
      </w:r>
      <w:r>
        <w:rPr>
          <w:rFonts w:ascii="Arial"/>
          <w:sz w:val="20"/>
        </w:rPr>
        <w:t>Contributions;</w:t>
      </w:r>
    </w:p>
    <w:p w:rsidR="006A170D" w:rsidRDefault="009807D2">
      <w:pPr>
        <w:pStyle w:val="ListParagraph"/>
        <w:numPr>
          <w:ilvl w:val="1"/>
          <w:numId w:val="1"/>
        </w:numPr>
        <w:tabs>
          <w:tab w:val="left" w:pos="1181"/>
        </w:tabs>
        <w:ind w:hanging="720"/>
        <w:rPr>
          <w:rFonts w:ascii="Arial" w:eastAsia="Arial" w:hAnsi="Arial" w:cs="Arial"/>
          <w:sz w:val="20"/>
          <w:szCs w:val="20"/>
        </w:rPr>
      </w:pPr>
      <w:r>
        <w:rPr>
          <w:rFonts w:ascii="Arial"/>
          <w:sz w:val="20"/>
        </w:rPr>
        <w:t>All Required Plan Amendments and Restatements Due to Changes in the Law or Regulations;</w:t>
      </w:r>
      <w:r>
        <w:rPr>
          <w:rFonts w:ascii="Arial"/>
          <w:spacing w:val="-21"/>
          <w:sz w:val="20"/>
        </w:rPr>
        <w:t xml:space="preserve"> </w:t>
      </w:r>
      <w:r>
        <w:rPr>
          <w:rFonts w:ascii="Arial"/>
          <w:sz w:val="20"/>
        </w:rPr>
        <w:t>and</w:t>
      </w:r>
    </w:p>
    <w:p w:rsidR="006A170D" w:rsidRDefault="009807D2">
      <w:pPr>
        <w:pStyle w:val="ListParagraph"/>
        <w:numPr>
          <w:ilvl w:val="1"/>
          <w:numId w:val="1"/>
        </w:numPr>
        <w:tabs>
          <w:tab w:val="left" w:pos="1181"/>
        </w:tabs>
        <w:ind w:hanging="720"/>
        <w:rPr>
          <w:rFonts w:ascii="Arial" w:eastAsia="Arial" w:hAnsi="Arial" w:cs="Arial"/>
          <w:sz w:val="20"/>
          <w:szCs w:val="20"/>
        </w:rPr>
      </w:pPr>
      <w:r>
        <w:rPr>
          <w:rFonts w:ascii="Arial"/>
          <w:sz w:val="20"/>
        </w:rPr>
        <w:t>Automatic review of the provisions of your plan to provide continued optimization for the business</w:t>
      </w:r>
      <w:r>
        <w:rPr>
          <w:rFonts w:ascii="Arial"/>
          <w:spacing w:val="-26"/>
          <w:sz w:val="20"/>
        </w:rPr>
        <w:t xml:space="preserve"> </w:t>
      </w:r>
      <w:r>
        <w:rPr>
          <w:rFonts w:ascii="Arial"/>
          <w:sz w:val="20"/>
        </w:rPr>
        <w:t>owners.</w:t>
      </w:r>
    </w:p>
    <w:p w:rsidR="006A170D" w:rsidRDefault="006A170D">
      <w:pPr>
        <w:spacing w:before="1"/>
        <w:rPr>
          <w:rFonts w:ascii="Arial" w:eastAsia="Arial" w:hAnsi="Arial" w:cs="Arial"/>
          <w:sz w:val="20"/>
          <w:szCs w:val="20"/>
        </w:rPr>
      </w:pPr>
    </w:p>
    <w:p w:rsidR="006A170D" w:rsidRDefault="009807D2">
      <w:pPr>
        <w:pStyle w:val="ListParagraph"/>
        <w:numPr>
          <w:ilvl w:val="0"/>
          <w:numId w:val="1"/>
        </w:numPr>
        <w:tabs>
          <w:tab w:val="left" w:pos="340"/>
        </w:tabs>
        <w:ind w:right="179" w:firstLine="0"/>
        <w:rPr>
          <w:rFonts w:ascii="Arial" w:eastAsia="Arial" w:hAnsi="Arial" w:cs="Arial"/>
          <w:sz w:val="20"/>
          <w:szCs w:val="20"/>
        </w:rPr>
      </w:pPr>
      <w:r>
        <w:rPr>
          <w:rFonts w:ascii="Arial" w:eastAsia="Arial" w:hAnsi="Arial" w:cs="Arial"/>
          <w:spacing w:val="4"/>
          <w:sz w:val="20"/>
          <w:szCs w:val="20"/>
        </w:rPr>
        <w:t xml:space="preserve">We </w:t>
      </w:r>
      <w:r>
        <w:rPr>
          <w:rFonts w:ascii="Arial" w:eastAsia="Arial" w:hAnsi="Arial" w:cs="Arial"/>
          <w:sz w:val="20"/>
          <w:szCs w:val="20"/>
        </w:rPr>
        <w:t xml:space="preserve">are exclusively “fee-for-service.” </w:t>
      </w:r>
      <w:r>
        <w:rPr>
          <w:rFonts w:ascii="Arial" w:eastAsia="Arial" w:hAnsi="Arial" w:cs="Arial"/>
          <w:spacing w:val="4"/>
          <w:sz w:val="20"/>
          <w:szCs w:val="20"/>
        </w:rPr>
        <w:t xml:space="preserve">We </w:t>
      </w:r>
      <w:r>
        <w:rPr>
          <w:rFonts w:ascii="Arial" w:eastAsia="Arial" w:hAnsi="Arial" w:cs="Arial"/>
          <w:sz w:val="20"/>
          <w:szCs w:val="20"/>
        </w:rPr>
        <w:t xml:space="preserve">do not sell products (i.e., either insurance or investments). </w:t>
      </w:r>
      <w:r>
        <w:rPr>
          <w:rFonts w:ascii="Arial" w:eastAsia="Arial" w:hAnsi="Arial" w:cs="Arial"/>
          <w:spacing w:val="4"/>
          <w:sz w:val="20"/>
          <w:szCs w:val="20"/>
        </w:rPr>
        <w:t xml:space="preserve">We </w:t>
      </w:r>
      <w:r>
        <w:rPr>
          <w:rFonts w:ascii="Arial" w:eastAsia="Arial" w:hAnsi="Arial" w:cs="Arial"/>
          <w:sz w:val="20"/>
          <w:szCs w:val="20"/>
        </w:rPr>
        <w:t>have provided qualified retirement plan services for over 40</w:t>
      </w:r>
      <w:r>
        <w:rPr>
          <w:rFonts w:ascii="Arial" w:eastAsia="Arial" w:hAnsi="Arial" w:cs="Arial"/>
          <w:spacing w:val="-12"/>
          <w:sz w:val="20"/>
          <w:szCs w:val="20"/>
        </w:rPr>
        <w:t xml:space="preserve"> </w:t>
      </w:r>
      <w:r>
        <w:rPr>
          <w:rFonts w:ascii="Arial" w:eastAsia="Arial" w:hAnsi="Arial" w:cs="Arial"/>
          <w:sz w:val="20"/>
          <w:szCs w:val="20"/>
        </w:rPr>
        <w:t>years.</w:t>
      </w:r>
    </w:p>
    <w:p w:rsidR="006A170D" w:rsidRDefault="006A170D">
      <w:pPr>
        <w:spacing w:before="1"/>
        <w:rPr>
          <w:rFonts w:ascii="Arial" w:eastAsia="Arial" w:hAnsi="Arial" w:cs="Arial"/>
          <w:sz w:val="20"/>
          <w:szCs w:val="20"/>
        </w:rPr>
      </w:pPr>
    </w:p>
    <w:p w:rsidR="006A170D" w:rsidRDefault="009807D2">
      <w:pPr>
        <w:pStyle w:val="ListParagraph"/>
        <w:numPr>
          <w:ilvl w:val="0"/>
          <w:numId w:val="1"/>
        </w:numPr>
        <w:tabs>
          <w:tab w:val="left" w:pos="411"/>
        </w:tabs>
        <w:ind w:right="354" w:firstLine="0"/>
        <w:rPr>
          <w:rFonts w:ascii="Arial" w:eastAsia="Arial" w:hAnsi="Arial" w:cs="Arial"/>
          <w:sz w:val="20"/>
          <w:szCs w:val="20"/>
        </w:rPr>
      </w:pPr>
      <w:r>
        <w:rPr>
          <w:rFonts w:ascii="Arial" w:eastAsia="Arial" w:hAnsi="Arial" w:cs="Arial"/>
          <w:sz w:val="20"/>
          <w:szCs w:val="20"/>
        </w:rPr>
        <w:t>Fees: The one-time fee to design and draft the plan, which includes the adoption of an IRS “tax-qualified” Heller Pension Associates, Inc. 401(k) Profit Sharing Plan, is $1,800. This fee is payable before we draft the plan. In addition, the</w:t>
      </w:r>
      <w:r>
        <w:rPr>
          <w:rFonts w:ascii="Arial" w:eastAsia="Arial" w:hAnsi="Arial" w:cs="Arial"/>
          <w:spacing w:val="-3"/>
          <w:sz w:val="20"/>
          <w:szCs w:val="20"/>
        </w:rPr>
        <w:t xml:space="preserve"> </w:t>
      </w:r>
      <w:r>
        <w:rPr>
          <w:rFonts w:ascii="Arial" w:eastAsia="Arial" w:hAnsi="Arial" w:cs="Arial"/>
          <w:sz w:val="20"/>
          <w:szCs w:val="20"/>
        </w:rPr>
        <w:t>annual</w:t>
      </w:r>
      <w:r>
        <w:rPr>
          <w:rFonts w:ascii="Arial" w:eastAsia="Arial" w:hAnsi="Arial" w:cs="Arial"/>
          <w:spacing w:val="-2"/>
          <w:sz w:val="20"/>
          <w:szCs w:val="20"/>
        </w:rPr>
        <w:t xml:space="preserve"> </w:t>
      </w:r>
      <w:r>
        <w:rPr>
          <w:rFonts w:ascii="Arial" w:eastAsia="Arial" w:hAnsi="Arial" w:cs="Arial"/>
          <w:sz w:val="20"/>
          <w:szCs w:val="20"/>
        </w:rPr>
        <w:t>administration</w:t>
      </w:r>
      <w:r>
        <w:rPr>
          <w:rFonts w:ascii="Arial" w:eastAsia="Arial" w:hAnsi="Arial" w:cs="Arial"/>
          <w:spacing w:val="-3"/>
          <w:sz w:val="20"/>
          <w:szCs w:val="20"/>
        </w:rPr>
        <w:t xml:space="preserve"> </w:t>
      </w:r>
      <w:r>
        <w:rPr>
          <w:rFonts w:ascii="Arial" w:eastAsia="Arial" w:hAnsi="Arial" w:cs="Arial"/>
          <w:sz w:val="20"/>
          <w:szCs w:val="20"/>
        </w:rPr>
        <w:t>fee</w:t>
      </w:r>
      <w:r>
        <w:rPr>
          <w:rFonts w:ascii="Arial" w:eastAsia="Arial" w:hAnsi="Arial" w:cs="Arial"/>
          <w:spacing w:val="-3"/>
          <w:sz w:val="20"/>
          <w:szCs w:val="20"/>
        </w:rPr>
        <w:t xml:space="preserve"> </w:t>
      </w:r>
      <w:r>
        <w:rPr>
          <w:rFonts w:ascii="Arial" w:eastAsia="Arial" w:hAnsi="Arial" w:cs="Arial"/>
          <w:sz w:val="20"/>
          <w:szCs w:val="20"/>
        </w:rPr>
        <w:t>(which</w:t>
      </w:r>
      <w:r>
        <w:rPr>
          <w:rFonts w:ascii="Arial" w:eastAsia="Arial" w:hAnsi="Arial" w:cs="Arial"/>
          <w:spacing w:val="-3"/>
          <w:sz w:val="20"/>
          <w:szCs w:val="20"/>
        </w:rPr>
        <w:t xml:space="preserve"> </w:t>
      </w:r>
      <w:r>
        <w:rPr>
          <w:rFonts w:ascii="Arial" w:eastAsia="Arial" w:hAnsi="Arial" w:cs="Arial"/>
          <w:sz w:val="20"/>
          <w:szCs w:val="20"/>
        </w:rPr>
        <w:t>covers</w:t>
      </w:r>
      <w:r>
        <w:rPr>
          <w:rFonts w:ascii="Arial" w:eastAsia="Arial" w:hAnsi="Arial" w:cs="Arial"/>
          <w:spacing w:val="-2"/>
          <w:sz w:val="20"/>
          <w:szCs w:val="20"/>
        </w:rPr>
        <w:t xml:space="preserve"> </w:t>
      </w:r>
      <w:r>
        <w:rPr>
          <w:rFonts w:ascii="Arial" w:eastAsia="Arial" w:hAnsi="Arial" w:cs="Arial"/>
          <w:sz w:val="20"/>
          <w:szCs w:val="20"/>
        </w:rPr>
        <w:t>all</w:t>
      </w:r>
      <w:r>
        <w:rPr>
          <w:rFonts w:ascii="Arial" w:eastAsia="Arial" w:hAnsi="Arial" w:cs="Arial"/>
          <w:spacing w:val="-4"/>
          <w:sz w:val="20"/>
          <w:szCs w:val="20"/>
        </w:rPr>
        <w:t xml:space="preserve"> </w:t>
      </w:r>
      <w:r>
        <w:rPr>
          <w:rFonts w:ascii="Arial" w:eastAsia="Arial" w:hAnsi="Arial" w:cs="Arial"/>
          <w:sz w:val="20"/>
          <w:szCs w:val="20"/>
        </w:rPr>
        <w:t>required</w:t>
      </w:r>
      <w:r>
        <w:rPr>
          <w:rFonts w:ascii="Arial" w:eastAsia="Arial" w:hAnsi="Arial" w:cs="Arial"/>
          <w:spacing w:val="-3"/>
          <w:sz w:val="20"/>
          <w:szCs w:val="20"/>
        </w:rPr>
        <w:t xml:space="preserve"> </w:t>
      </w:r>
      <w:r>
        <w:rPr>
          <w:rFonts w:ascii="Arial" w:eastAsia="Arial" w:hAnsi="Arial" w:cs="Arial"/>
          <w:sz w:val="20"/>
          <w:szCs w:val="20"/>
        </w:rPr>
        <w:t>annual</w:t>
      </w:r>
      <w:r>
        <w:rPr>
          <w:rFonts w:ascii="Arial" w:eastAsia="Arial" w:hAnsi="Arial" w:cs="Arial"/>
          <w:spacing w:val="-4"/>
          <w:sz w:val="20"/>
          <w:szCs w:val="20"/>
        </w:rPr>
        <w:t xml:space="preserve"> </w:t>
      </w:r>
      <w:r>
        <w:rPr>
          <w:rFonts w:ascii="Arial" w:eastAsia="Arial" w:hAnsi="Arial" w:cs="Arial"/>
          <w:sz w:val="20"/>
          <w:szCs w:val="20"/>
        </w:rPr>
        <w:t>plan</w:t>
      </w:r>
      <w:r>
        <w:rPr>
          <w:rFonts w:ascii="Arial" w:eastAsia="Arial" w:hAnsi="Arial" w:cs="Arial"/>
          <w:spacing w:val="-2"/>
          <w:sz w:val="20"/>
          <w:szCs w:val="20"/>
        </w:rPr>
        <w:t xml:space="preserve"> </w:t>
      </w:r>
      <w:r>
        <w:rPr>
          <w:rFonts w:ascii="Arial" w:eastAsia="Arial" w:hAnsi="Arial" w:cs="Arial"/>
          <w:sz w:val="20"/>
          <w:szCs w:val="20"/>
        </w:rPr>
        <w:t>administration</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z w:val="20"/>
          <w:szCs w:val="20"/>
        </w:rPr>
        <w:t>documentation</w:t>
      </w:r>
      <w:r>
        <w:rPr>
          <w:rFonts w:ascii="Arial" w:eastAsia="Arial" w:hAnsi="Arial" w:cs="Arial"/>
          <w:spacing w:val="-2"/>
          <w:sz w:val="20"/>
          <w:szCs w:val="20"/>
        </w:rPr>
        <w:t xml:space="preserve"> </w:t>
      </w:r>
      <w:r>
        <w:rPr>
          <w:rFonts w:ascii="Arial" w:eastAsia="Arial" w:hAnsi="Arial" w:cs="Arial"/>
          <w:sz w:val="20"/>
          <w:szCs w:val="20"/>
        </w:rPr>
        <w:t>services)</w:t>
      </w:r>
      <w:r>
        <w:rPr>
          <w:rFonts w:ascii="Arial" w:eastAsia="Arial" w:hAnsi="Arial" w:cs="Arial"/>
          <w:spacing w:val="-2"/>
          <w:sz w:val="20"/>
          <w:szCs w:val="20"/>
        </w:rPr>
        <w:t xml:space="preserve"> </w:t>
      </w:r>
      <w:r>
        <w:rPr>
          <w:rFonts w:ascii="Arial" w:eastAsia="Arial" w:hAnsi="Arial" w:cs="Arial"/>
          <w:sz w:val="20"/>
          <w:szCs w:val="20"/>
        </w:rPr>
        <w:t>will</w:t>
      </w:r>
      <w:r>
        <w:rPr>
          <w:rFonts w:ascii="Arial" w:eastAsia="Arial" w:hAnsi="Arial" w:cs="Arial"/>
          <w:spacing w:val="-4"/>
          <w:sz w:val="20"/>
          <w:szCs w:val="20"/>
        </w:rPr>
        <w:t xml:space="preserve"> </w:t>
      </w:r>
      <w:r>
        <w:rPr>
          <w:rFonts w:ascii="Arial" w:eastAsia="Arial" w:hAnsi="Arial" w:cs="Arial"/>
          <w:sz w:val="20"/>
          <w:szCs w:val="20"/>
        </w:rPr>
        <w:t>be</w:t>
      </w:r>
    </w:p>
    <w:p w:rsidR="006A170D" w:rsidRDefault="009807D2">
      <w:pPr>
        <w:pStyle w:val="BodyText"/>
        <w:spacing w:before="1"/>
        <w:ind w:right="65"/>
      </w:pPr>
      <w:r>
        <w:t>$1,770 plus $50 per participant (based on the number of participants with account balances). The annual fee will first be payable after we complete the work for the Plan Year Ending December 31, 2016 (i.e., sometime in 2017). This fee includes all plan administration and plan documentation</w:t>
      </w:r>
      <w:r>
        <w:rPr>
          <w:spacing w:val="-20"/>
        </w:rPr>
        <w:t xml:space="preserve"> </w:t>
      </w:r>
      <w:r>
        <w:t>services.</w:t>
      </w:r>
    </w:p>
    <w:p w:rsidR="006A170D" w:rsidRDefault="006A170D">
      <w:pPr>
        <w:spacing w:before="1"/>
        <w:rPr>
          <w:rFonts w:ascii="Arial" w:eastAsia="Arial" w:hAnsi="Arial" w:cs="Arial"/>
          <w:sz w:val="20"/>
          <w:szCs w:val="20"/>
        </w:rPr>
      </w:pPr>
    </w:p>
    <w:p w:rsidR="006A170D" w:rsidRDefault="009807D2">
      <w:pPr>
        <w:pStyle w:val="ListParagraph"/>
        <w:numPr>
          <w:ilvl w:val="0"/>
          <w:numId w:val="1"/>
        </w:numPr>
        <w:tabs>
          <w:tab w:val="left" w:pos="410"/>
        </w:tabs>
        <w:ind w:right="173" w:firstLine="0"/>
        <w:rPr>
          <w:rFonts w:ascii="Arial" w:eastAsia="Arial" w:hAnsi="Arial" w:cs="Arial"/>
          <w:sz w:val="20"/>
          <w:szCs w:val="20"/>
        </w:rPr>
      </w:pPr>
      <w:r>
        <w:rPr>
          <w:rFonts w:ascii="Arial"/>
          <w:sz w:val="20"/>
        </w:rPr>
        <w:t xml:space="preserve">Fidelity Bond Coverage: CCCHC would be required to obtain a fidelity bond covering </w:t>
      </w:r>
      <w:r>
        <w:rPr>
          <w:rFonts w:ascii="Arial"/>
          <w:spacing w:val="3"/>
          <w:sz w:val="20"/>
        </w:rPr>
        <w:t xml:space="preserve">at </w:t>
      </w:r>
      <w:r>
        <w:rPr>
          <w:rFonts w:ascii="Arial"/>
          <w:sz w:val="20"/>
        </w:rPr>
        <w:t>least 10% of the plan's</w:t>
      </w:r>
      <w:r>
        <w:rPr>
          <w:rFonts w:ascii="Arial"/>
          <w:spacing w:val="-37"/>
          <w:sz w:val="20"/>
        </w:rPr>
        <w:t xml:space="preserve"> </w:t>
      </w:r>
      <w:r>
        <w:rPr>
          <w:rFonts w:ascii="Arial"/>
          <w:sz w:val="20"/>
        </w:rPr>
        <w:t>assets. These bonds are relatively inexpensive and can be acquired through most insurance agents that sell business-related insurances.  If desired, we can help coordinate this</w:t>
      </w:r>
      <w:r>
        <w:rPr>
          <w:rFonts w:ascii="Arial"/>
          <w:spacing w:val="-17"/>
          <w:sz w:val="20"/>
        </w:rPr>
        <w:t xml:space="preserve"> </w:t>
      </w:r>
      <w:r>
        <w:rPr>
          <w:rFonts w:ascii="Arial"/>
          <w:sz w:val="20"/>
        </w:rPr>
        <w:t>coverage.</w:t>
      </w:r>
    </w:p>
    <w:sectPr w:rsidR="006A170D">
      <w:type w:val="continuous"/>
      <w:pgSz w:w="12240" w:h="15840"/>
      <w:pgMar w:top="68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15DA5"/>
    <w:multiLevelType w:val="hybridMultilevel"/>
    <w:tmpl w:val="AD287BD2"/>
    <w:lvl w:ilvl="0" w:tplc="BC964BDE">
      <w:start w:val="1"/>
      <w:numFmt w:val="upperLetter"/>
      <w:lvlText w:val="%1."/>
      <w:lvlJc w:val="left"/>
      <w:pPr>
        <w:ind w:left="100" w:hanging="243"/>
        <w:jc w:val="left"/>
      </w:pPr>
      <w:rPr>
        <w:rFonts w:ascii="Arial" w:eastAsia="Arial" w:hAnsi="Arial" w:hint="default"/>
        <w:spacing w:val="-1"/>
        <w:w w:val="99"/>
        <w:sz w:val="20"/>
        <w:szCs w:val="20"/>
      </w:rPr>
    </w:lvl>
    <w:lvl w:ilvl="1" w:tplc="15EEB0B8">
      <w:start w:val="1"/>
      <w:numFmt w:val="bullet"/>
      <w:lvlText w:val="•"/>
      <w:lvlJc w:val="left"/>
      <w:pPr>
        <w:ind w:left="1194" w:hanging="243"/>
      </w:pPr>
      <w:rPr>
        <w:rFonts w:hint="default"/>
      </w:rPr>
    </w:lvl>
    <w:lvl w:ilvl="2" w:tplc="FE9E97CC">
      <w:start w:val="1"/>
      <w:numFmt w:val="bullet"/>
      <w:lvlText w:val="•"/>
      <w:lvlJc w:val="left"/>
      <w:pPr>
        <w:ind w:left="2288" w:hanging="243"/>
      </w:pPr>
      <w:rPr>
        <w:rFonts w:hint="default"/>
      </w:rPr>
    </w:lvl>
    <w:lvl w:ilvl="3" w:tplc="E2E8A0A4">
      <w:start w:val="1"/>
      <w:numFmt w:val="bullet"/>
      <w:lvlText w:val="•"/>
      <w:lvlJc w:val="left"/>
      <w:pPr>
        <w:ind w:left="3382" w:hanging="243"/>
      </w:pPr>
      <w:rPr>
        <w:rFonts w:hint="default"/>
      </w:rPr>
    </w:lvl>
    <w:lvl w:ilvl="4" w:tplc="43441838">
      <w:start w:val="1"/>
      <w:numFmt w:val="bullet"/>
      <w:lvlText w:val="•"/>
      <w:lvlJc w:val="left"/>
      <w:pPr>
        <w:ind w:left="4476" w:hanging="243"/>
      </w:pPr>
      <w:rPr>
        <w:rFonts w:hint="default"/>
      </w:rPr>
    </w:lvl>
    <w:lvl w:ilvl="5" w:tplc="A61CFC3A">
      <w:start w:val="1"/>
      <w:numFmt w:val="bullet"/>
      <w:lvlText w:val="•"/>
      <w:lvlJc w:val="left"/>
      <w:pPr>
        <w:ind w:left="5570" w:hanging="243"/>
      </w:pPr>
      <w:rPr>
        <w:rFonts w:hint="default"/>
      </w:rPr>
    </w:lvl>
    <w:lvl w:ilvl="6" w:tplc="EE524E88">
      <w:start w:val="1"/>
      <w:numFmt w:val="bullet"/>
      <w:lvlText w:val="•"/>
      <w:lvlJc w:val="left"/>
      <w:pPr>
        <w:ind w:left="6664" w:hanging="243"/>
      </w:pPr>
      <w:rPr>
        <w:rFonts w:hint="default"/>
      </w:rPr>
    </w:lvl>
    <w:lvl w:ilvl="7" w:tplc="276CC388">
      <w:start w:val="1"/>
      <w:numFmt w:val="bullet"/>
      <w:lvlText w:val="•"/>
      <w:lvlJc w:val="left"/>
      <w:pPr>
        <w:ind w:left="7758" w:hanging="243"/>
      </w:pPr>
      <w:rPr>
        <w:rFonts w:hint="default"/>
      </w:rPr>
    </w:lvl>
    <w:lvl w:ilvl="8" w:tplc="EDB0F658">
      <w:start w:val="1"/>
      <w:numFmt w:val="bullet"/>
      <w:lvlText w:val="•"/>
      <w:lvlJc w:val="left"/>
      <w:pPr>
        <w:ind w:left="8852" w:hanging="243"/>
      </w:pPr>
      <w:rPr>
        <w:rFonts w:hint="default"/>
      </w:rPr>
    </w:lvl>
  </w:abstractNum>
  <w:abstractNum w:abstractNumId="1" w15:restartNumberingAfterBreak="0">
    <w:nsid w:val="132C31BC"/>
    <w:multiLevelType w:val="hybridMultilevel"/>
    <w:tmpl w:val="625E1C18"/>
    <w:lvl w:ilvl="0" w:tplc="32C29C5E">
      <w:start w:val="1"/>
      <w:numFmt w:val="upperRoman"/>
      <w:lvlText w:val="%1."/>
      <w:lvlJc w:val="left"/>
      <w:pPr>
        <w:ind w:left="320" w:hanging="221"/>
        <w:jc w:val="left"/>
      </w:pPr>
      <w:rPr>
        <w:rFonts w:ascii="Arial" w:eastAsia="Arial" w:hAnsi="Arial" w:hint="default"/>
        <w:b/>
        <w:bCs/>
        <w:w w:val="99"/>
        <w:sz w:val="20"/>
        <w:szCs w:val="20"/>
      </w:rPr>
    </w:lvl>
    <w:lvl w:ilvl="1" w:tplc="3EEC73E6">
      <w:start w:val="1"/>
      <w:numFmt w:val="bullet"/>
      <w:lvlText w:val="•"/>
      <w:lvlJc w:val="left"/>
      <w:pPr>
        <w:ind w:left="1392" w:hanging="221"/>
      </w:pPr>
      <w:rPr>
        <w:rFonts w:hint="default"/>
      </w:rPr>
    </w:lvl>
    <w:lvl w:ilvl="2" w:tplc="DCD8E014">
      <w:start w:val="1"/>
      <w:numFmt w:val="bullet"/>
      <w:lvlText w:val="•"/>
      <w:lvlJc w:val="left"/>
      <w:pPr>
        <w:ind w:left="2464" w:hanging="221"/>
      </w:pPr>
      <w:rPr>
        <w:rFonts w:hint="default"/>
      </w:rPr>
    </w:lvl>
    <w:lvl w:ilvl="3" w:tplc="05D06F56">
      <w:start w:val="1"/>
      <w:numFmt w:val="bullet"/>
      <w:lvlText w:val="•"/>
      <w:lvlJc w:val="left"/>
      <w:pPr>
        <w:ind w:left="3536" w:hanging="221"/>
      </w:pPr>
      <w:rPr>
        <w:rFonts w:hint="default"/>
      </w:rPr>
    </w:lvl>
    <w:lvl w:ilvl="4" w:tplc="92868882">
      <w:start w:val="1"/>
      <w:numFmt w:val="bullet"/>
      <w:lvlText w:val="•"/>
      <w:lvlJc w:val="left"/>
      <w:pPr>
        <w:ind w:left="4608" w:hanging="221"/>
      </w:pPr>
      <w:rPr>
        <w:rFonts w:hint="default"/>
      </w:rPr>
    </w:lvl>
    <w:lvl w:ilvl="5" w:tplc="774C25F2">
      <w:start w:val="1"/>
      <w:numFmt w:val="bullet"/>
      <w:lvlText w:val="•"/>
      <w:lvlJc w:val="left"/>
      <w:pPr>
        <w:ind w:left="5680" w:hanging="221"/>
      </w:pPr>
      <w:rPr>
        <w:rFonts w:hint="default"/>
      </w:rPr>
    </w:lvl>
    <w:lvl w:ilvl="6" w:tplc="38C8DA4E">
      <w:start w:val="1"/>
      <w:numFmt w:val="bullet"/>
      <w:lvlText w:val="•"/>
      <w:lvlJc w:val="left"/>
      <w:pPr>
        <w:ind w:left="6752" w:hanging="221"/>
      </w:pPr>
      <w:rPr>
        <w:rFonts w:hint="default"/>
      </w:rPr>
    </w:lvl>
    <w:lvl w:ilvl="7" w:tplc="85D4AAB6">
      <w:start w:val="1"/>
      <w:numFmt w:val="bullet"/>
      <w:lvlText w:val="•"/>
      <w:lvlJc w:val="left"/>
      <w:pPr>
        <w:ind w:left="7824" w:hanging="221"/>
      </w:pPr>
      <w:rPr>
        <w:rFonts w:hint="default"/>
      </w:rPr>
    </w:lvl>
    <w:lvl w:ilvl="8" w:tplc="9282FDB6">
      <w:start w:val="1"/>
      <w:numFmt w:val="bullet"/>
      <w:lvlText w:val="•"/>
      <w:lvlJc w:val="left"/>
      <w:pPr>
        <w:ind w:left="8896" w:hanging="221"/>
      </w:pPr>
      <w:rPr>
        <w:rFonts w:hint="default"/>
      </w:rPr>
    </w:lvl>
  </w:abstractNum>
  <w:abstractNum w:abstractNumId="2" w15:restartNumberingAfterBreak="0">
    <w:nsid w:val="178C78DC"/>
    <w:multiLevelType w:val="hybridMultilevel"/>
    <w:tmpl w:val="BDC021AE"/>
    <w:lvl w:ilvl="0" w:tplc="89D2A490">
      <w:start w:val="1"/>
      <w:numFmt w:val="upperLetter"/>
      <w:lvlText w:val="%1."/>
      <w:lvlJc w:val="left"/>
      <w:pPr>
        <w:ind w:left="100" w:hanging="243"/>
        <w:jc w:val="left"/>
      </w:pPr>
      <w:rPr>
        <w:rFonts w:ascii="Arial" w:eastAsia="Arial" w:hAnsi="Arial" w:hint="default"/>
        <w:spacing w:val="-1"/>
        <w:w w:val="99"/>
        <w:sz w:val="20"/>
        <w:szCs w:val="20"/>
      </w:rPr>
    </w:lvl>
    <w:lvl w:ilvl="1" w:tplc="C29C6C66">
      <w:start w:val="1"/>
      <w:numFmt w:val="lowerRoman"/>
      <w:lvlText w:val="%2."/>
      <w:lvlJc w:val="left"/>
      <w:pPr>
        <w:ind w:left="1180" w:hanging="721"/>
        <w:jc w:val="left"/>
      </w:pPr>
      <w:rPr>
        <w:rFonts w:ascii="Arial" w:eastAsia="Arial" w:hAnsi="Arial" w:hint="default"/>
        <w:spacing w:val="-2"/>
        <w:w w:val="99"/>
        <w:sz w:val="20"/>
        <w:szCs w:val="20"/>
      </w:rPr>
    </w:lvl>
    <w:lvl w:ilvl="2" w:tplc="E454FDB6">
      <w:start w:val="1"/>
      <w:numFmt w:val="bullet"/>
      <w:lvlText w:val="•"/>
      <w:lvlJc w:val="left"/>
      <w:pPr>
        <w:ind w:left="2275" w:hanging="721"/>
      </w:pPr>
      <w:rPr>
        <w:rFonts w:hint="default"/>
      </w:rPr>
    </w:lvl>
    <w:lvl w:ilvl="3" w:tplc="BD4EFC78">
      <w:start w:val="1"/>
      <w:numFmt w:val="bullet"/>
      <w:lvlText w:val="•"/>
      <w:lvlJc w:val="left"/>
      <w:pPr>
        <w:ind w:left="3371" w:hanging="721"/>
      </w:pPr>
      <w:rPr>
        <w:rFonts w:hint="default"/>
      </w:rPr>
    </w:lvl>
    <w:lvl w:ilvl="4" w:tplc="48CA02DC">
      <w:start w:val="1"/>
      <w:numFmt w:val="bullet"/>
      <w:lvlText w:val="•"/>
      <w:lvlJc w:val="left"/>
      <w:pPr>
        <w:ind w:left="4466" w:hanging="721"/>
      </w:pPr>
      <w:rPr>
        <w:rFonts w:hint="default"/>
      </w:rPr>
    </w:lvl>
    <w:lvl w:ilvl="5" w:tplc="F90619CC">
      <w:start w:val="1"/>
      <w:numFmt w:val="bullet"/>
      <w:lvlText w:val="•"/>
      <w:lvlJc w:val="left"/>
      <w:pPr>
        <w:ind w:left="5562" w:hanging="721"/>
      </w:pPr>
      <w:rPr>
        <w:rFonts w:hint="default"/>
      </w:rPr>
    </w:lvl>
    <w:lvl w:ilvl="6" w:tplc="22568B34">
      <w:start w:val="1"/>
      <w:numFmt w:val="bullet"/>
      <w:lvlText w:val="•"/>
      <w:lvlJc w:val="left"/>
      <w:pPr>
        <w:ind w:left="6657" w:hanging="721"/>
      </w:pPr>
      <w:rPr>
        <w:rFonts w:hint="default"/>
      </w:rPr>
    </w:lvl>
    <w:lvl w:ilvl="7" w:tplc="CA5EF15E">
      <w:start w:val="1"/>
      <w:numFmt w:val="bullet"/>
      <w:lvlText w:val="•"/>
      <w:lvlJc w:val="left"/>
      <w:pPr>
        <w:ind w:left="7753" w:hanging="721"/>
      </w:pPr>
      <w:rPr>
        <w:rFonts w:hint="default"/>
      </w:rPr>
    </w:lvl>
    <w:lvl w:ilvl="8" w:tplc="69488300">
      <w:start w:val="1"/>
      <w:numFmt w:val="bullet"/>
      <w:lvlText w:val="•"/>
      <w:lvlJc w:val="left"/>
      <w:pPr>
        <w:ind w:left="8848" w:hanging="721"/>
      </w:pPr>
      <w:rPr>
        <w:rFonts w:hint="default"/>
      </w:rPr>
    </w:lvl>
  </w:abstractNum>
  <w:abstractNum w:abstractNumId="3" w15:restartNumberingAfterBreak="0">
    <w:nsid w:val="78134253"/>
    <w:multiLevelType w:val="hybridMultilevel"/>
    <w:tmpl w:val="46C6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0D"/>
    <w:rsid w:val="00065E88"/>
    <w:rsid w:val="000819A1"/>
    <w:rsid w:val="00154F4A"/>
    <w:rsid w:val="001733C2"/>
    <w:rsid w:val="00237136"/>
    <w:rsid w:val="0032371A"/>
    <w:rsid w:val="004113BC"/>
    <w:rsid w:val="004D5745"/>
    <w:rsid w:val="004E7DF3"/>
    <w:rsid w:val="005529FA"/>
    <w:rsid w:val="005A524D"/>
    <w:rsid w:val="005D6892"/>
    <w:rsid w:val="00646335"/>
    <w:rsid w:val="006A170D"/>
    <w:rsid w:val="00724BB3"/>
    <w:rsid w:val="007B4AA6"/>
    <w:rsid w:val="007B66D4"/>
    <w:rsid w:val="0083129D"/>
    <w:rsid w:val="009017AD"/>
    <w:rsid w:val="009807D2"/>
    <w:rsid w:val="0099411C"/>
    <w:rsid w:val="00DA7921"/>
    <w:rsid w:val="00DB1063"/>
    <w:rsid w:val="00EE24E0"/>
    <w:rsid w:val="00EE5FA0"/>
    <w:rsid w:val="00FE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384E7-2922-47C1-A0C9-6A5B7A32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320" w:hanging="276"/>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524D"/>
    <w:pPr>
      <w:widowControl/>
      <w:tabs>
        <w:tab w:val="center" w:pos="4680"/>
        <w:tab w:val="right" w:pos="9360"/>
      </w:tabs>
    </w:pPr>
  </w:style>
  <w:style w:type="character" w:customStyle="1" w:styleId="HeaderChar">
    <w:name w:val="Header Char"/>
    <w:basedOn w:val="DefaultParagraphFont"/>
    <w:link w:val="Header"/>
    <w:uiPriority w:val="99"/>
    <w:rsid w:val="005A524D"/>
  </w:style>
  <w:style w:type="paragraph" w:styleId="BalloonText">
    <w:name w:val="Balloon Text"/>
    <w:basedOn w:val="Normal"/>
    <w:link w:val="BalloonTextChar"/>
    <w:uiPriority w:val="99"/>
    <w:semiHidden/>
    <w:unhideWhenUsed/>
    <w:rsid w:val="00901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7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HELLER PENSION ASSOCIATES, INC</vt:lpstr>
    </vt:vector>
  </TitlesOfParts>
  <Company/>
  <LinksUpToDate>false</LinksUpToDate>
  <CharactersWithSpaces>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HELLER PENSION ASSOCIATES, INC</dc:title>
  <dc:creator>Jennifer Van Wagner</dc:creator>
  <cp:lastModifiedBy>Aleshia Boyle</cp:lastModifiedBy>
  <cp:revision>3</cp:revision>
  <dcterms:created xsi:type="dcterms:W3CDTF">2016-02-01T20:02:00Z</dcterms:created>
  <dcterms:modified xsi:type="dcterms:W3CDTF">2016-02-01T20:30:00Z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Office Word 2007</vt:lpwstr>
  </property>
  <property fmtid="{D5CDD505-2E9C-101B-9397-08002B2CF9AE}" pid="4" name="LastSaved">
    <vt:filetime>2016-01-29T00:00:00Z</vt:filetime>
  </property>
</Properties>
</file>