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D12FA2">
            <w:pPr>
              <w:rPr>
                <w:b/>
              </w:rPr>
            </w:pPr>
            <w:r w:rsidRPr="001E0050">
              <w:rPr>
                <w:b/>
              </w:rPr>
              <w:t xml:space="preserve">Date:    </w:t>
            </w:r>
            <w:r w:rsidR="00D12FA2">
              <w:rPr>
                <w:b/>
              </w:rPr>
              <w:t>July 19</w:t>
            </w:r>
            <w:r w:rsidR="009D18D2">
              <w:rPr>
                <w:b/>
              </w:rPr>
              <w:t>, 2016</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 xml:space="preserve">Board Members Attending: </w:t>
            </w:r>
            <w:r w:rsidR="003F79C4">
              <w:rPr>
                <w:b/>
              </w:rPr>
              <w:t xml:space="preserve">Robin Andrews, </w:t>
            </w:r>
            <w:r w:rsidR="009D18D2">
              <w:rPr>
                <w:b/>
              </w:rPr>
              <w:t xml:space="preserve">Ken Stall, </w:t>
            </w:r>
            <w:r w:rsidRPr="001E0050">
              <w:rPr>
                <w:b/>
              </w:rPr>
              <w:t xml:space="preserve">Jim Campion, </w:t>
            </w:r>
            <w:r w:rsidR="003F79C4">
              <w:rPr>
                <w:b/>
              </w:rPr>
              <w:t>Lisa Evans, Chelly Hegan</w:t>
            </w:r>
            <w:r w:rsidR="00D12FA2">
              <w:rPr>
                <w:b/>
              </w:rPr>
              <w:t xml:space="preserve"> (by phone)</w:t>
            </w:r>
          </w:p>
          <w:p w:rsidR="00D81AA6" w:rsidRPr="001E0050" w:rsidRDefault="00D81AA6" w:rsidP="003F79C4">
            <w:r w:rsidRPr="001E0050">
              <w:rPr>
                <w:b/>
              </w:rPr>
              <w:t xml:space="preserve">Board Members Absent:  </w:t>
            </w:r>
            <w:r w:rsidR="003F79C4">
              <w:rPr>
                <w:b/>
              </w:rPr>
              <w:t>PJ Keeler</w:t>
            </w:r>
          </w:p>
        </w:tc>
        <w:tc>
          <w:tcPr>
            <w:tcW w:w="3791" w:type="dxa"/>
          </w:tcPr>
          <w:p w:rsidR="00D81AA6" w:rsidRPr="001E0050" w:rsidRDefault="00D81AA6" w:rsidP="00D12FA2">
            <w:pPr>
              <w:rPr>
                <w:b/>
              </w:rPr>
            </w:pPr>
            <w:r w:rsidRPr="001E0050">
              <w:rPr>
                <w:b/>
              </w:rPr>
              <w:t xml:space="preserve">Guests: </w:t>
            </w:r>
            <w:r w:rsidR="00D12FA2">
              <w:rPr>
                <w:b/>
              </w:rPr>
              <w:t>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rsidRPr="001E0050">
              <w:t>Highlights from the Financial Reports</w:t>
            </w:r>
          </w:p>
          <w:p w:rsidR="00A96EC7" w:rsidRPr="001E0050" w:rsidRDefault="00A96EC7" w:rsidP="00A96EC7"/>
        </w:tc>
        <w:tc>
          <w:tcPr>
            <w:tcW w:w="12482" w:type="dxa"/>
            <w:gridSpan w:val="2"/>
            <w:tcBorders>
              <w:top w:val="single" w:sz="4" w:space="0" w:color="auto"/>
              <w:left w:val="single" w:sz="4" w:space="0" w:color="auto"/>
              <w:bottom w:val="single" w:sz="4" w:space="0" w:color="auto"/>
            </w:tcBorders>
            <w:vAlign w:val="center"/>
          </w:tcPr>
          <w:p w:rsidR="00A82A4A" w:rsidRDefault="00A96EC7" w:rsidP="00A96EC7">
            <w:pPr>
              <w:spacing w:before="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062538">
              <w:t>June 30</w:t>
            </w:r>
            <w:r>
              <w:t>, 2016</w:t>
            </w:r>
            <w:r w:rsidR="005E7D1E">
              <w:t xml:space="preserve">. John </w:t>
            </w:r>
            <w:r w:rsidR="00971B37">
              <w:t xml:space="preserve">Ray </w:t>
            </w:r>
            <w:r w:rsidR="005E7D1E">
              <w:t xml:space="preserve">offered </w:t>
            </w:r>
            <w:r w:rsidR="00971B37">
              <w:t xml:space="preserve">his </w:t>
            </w:r>
            <w:r w:rsidR="005E7D1E">
              <w:t xml:space="preserve">“Fiscal Highlights” </w:t>
            </w:r>
            <w:r>
              <w:t xml:space="preserve">(see attached). </w:t>
            </w:r>
          </w:p>
          <w:p w:rsidR="00A82A4A" w:rsidRDefault="00A82A4A" w:rsidP="00A96EC7">
            <w:pPr>
              <w:spacing w:before="120"/>
            </w:pPr>
            <w:r>
              <w:t xml:space="preserve">The group discussed the large Accounts Receivable attributed to the Cancer Services Infrastructure Program.  John reported that Claire spoke to the contract manager and her supervisor, who </w:t>
            </w:r>
            <w:r w:rsidR="00062538">
              <w:t xml:space="preserve">apologized profusely for the delay and </w:t>
            </w:r>
            <w:r>
              <w:t xml:space="preserve">assured her that the situation would be resolved shortly.  After several additional days of delay, the vouchers for the period of September through March were posted to the State Financial System (SFS) as </w:t>
            </w:r>
            <w:r w:rsidR="00062538">
              <w:t>in process</w:t>
            </w:r>
            <w:r>
              <w:t>. Vouchers for the new contract period starting April 1 are still outstanding.</w:t>
            </w:r>
          </w:p>
          <w:p w:rsidR="00A96EC7" w:rsidRPr="00A03133" w:rsidRDefault="00A82A4A" w:rsidP="00062538">
            <w:pPr>
              <w:spacing w:before="120"/>
              <w:rPr>
                <w:color w:val="000000"/>
              </w:rPr>
            </w:pPr>
            <w:r>
              <w:t>John reported that, due to short staffing in the Fiscal Department, Medicaid billing ha</w:t>
            </w:r>
            <w:r w:rsidR="00062538">
              <w:t>d lapsed, but has now resumed. The lapse did not exceed 90 days from the date of service.</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96EC7" w:rsidP="00A96EC7">
            <w:r>
              <w:t>Update on the Investment Account</w:t>
            </w:r>
          </w:p>
        </w:tc>
        <w:tc>
          <w:tcPr>
            <w:tcW w:w="12482" w:type="dxa"/>
            <w:gridSpan w:val="2"/>
            <w:tcBorders>
              <w:top w:val="single" w:sz="4" w:space="0" w:color="auto"/>
              <w:left w:val="single" w:sz="4" w:space="0" w:color="auto"/>
              <w:bottom w:val="single" w:sz="4" w:space="0" w:color="auto"/>
            </w:tcBorders>
            <w:vAlign w:val="center"/>
          </w:tcPr>
          <w:p w:rsidR="00062538" w:rsidRPr="00062538" w:rsidRDefault="00A82A4A" w:rsidP="00062538">
            <w:r>
              <w:t xml:space="preserve">The </w:t>
            </w:r>
            <w:r w:rsidRPr="00062538">
              <w:t xml:space="preserve">Committee reviewed tables prepared by John Ray that </w:t>
            </w:r>
            <w:r w:rsidR="00062538" w:rsidRPr="00062538">
              <w:t xml:space="preserve">provide a very clear outline of the </w:t>
            </w:r>
            <w:r w:rsidRPr="00062538">
              <w:t>present investment approach</w:t>
            </w:r>
            <w:r w:rsidR="00062538" w:rsidRPr="00062538">
              <w:t>. The tables demonstrate a few things:</w:t>
            </w:r>
          </w:p>
          <w:p w:rsidR="00062538" w:rsidRPr="00062538" w:rsidRDefault="00062538" w:rsidP="00062538">
            <w:pPr>
              <w:pStyle w:val="ListParagraph"/>
              <w:numPr>
                <w:ilvl w:val="0"/>
                <w:numId w:val="16"/>
              </w:numPr>
              <w:spacing w:after="0" w:line="240" w:lineRule="auto"/>
              <w:rPr>
                <w:rFonts w:ascii="Times New Roman" w:hAnsi="Times New Roman"/>
                <w:sz w:val="24"/>
                <w:szCs w:val="24"/>
              </w:rPr>
            </w:pPr>
            <w:r w:rsidRPr="00062538">
              <w:rPr>
                <w:rFonts w:ascii="Times New Roman" w:hAnsi="Times New Roman"/>
                <w:sz w:val="24"/>
                <w:szCs w:val="24"/>
              </w:rPr>
              <w:t>That $10,000 is and will be invested monthly, as opposed to the $12,000 previously thought</w:t>
            </w:r>
          </w:p>
          <w:p w:rsidR="00062538" w:rsidRPr="00062538" w:rsidRDefault="00062538" w:rsidP="00062538">
            <w:pPr>
              <w:pStyle w:val="ListParagraph"/>
              <w:numPr>
                <w:ilvl w:val="0"/>
                <w:numId w:val="16"/>
              </w:numPr>
              <w:spacing w:after="0" w:line="240" w:lineRule="auto"/>
              <w:rPr>
                <w:rFonts w:ascii="Times New Roman" w:hAnsi="Times New Roman"/>
                <w:sz w:val="24"/>
                <w:szCs w:val="24"/>
              </w:rPr>
            </w:pPr>
            <w:r w:rsidRPr="00062538">
              <w:rPr>
                <w:rFonts w:ascii="Times New Roman" w:hAnsi="Times New Roman"/>
                <w:sz w:val="24"/>
                <w:szCs w:val="24"/>
              </w:rPr>
              <w:t>That, at the current pace of investing, it will take approximately 14 months to invest all assets, and therefore achieve the asset allocation mix identified in our investment policy</w:t>
            </w:r>
          </w:p>
          <w:p w:rsidR="00062538" w:rsidRPr="00062538" w:rsidRDefault="00062538" w:rsidP="00062538">
            <w:pPr>
              <w:pStyle w:val="ListParagraph"/>
              <w:numPr>
                <w:ilvl w:val="0"/>
                <w:numId w:val="16"/>
              </w:numPr>
              <w:spacing w:after="0" w:line="240" w:lineRule="auto"/>
              <w:rPr>
                <w:rFonts w:ascii="Times New Roman" w:hAnsi="Times New Roman"/>
                <w:sz w:val="24"/>
                <w:szCs w:val="24"/>
              </w:rPr>
            </w:pPr>
            <w:r w:rsidRPr="00062538">
              <w:rPr>
                <w:rFonts w:ascii="Times New Roman" w:hAnsi="Times New Roman"/>
                <w:sz w:val="24"/>
                <w:szCs w:val="24"/>
              </w:rPr>
              <w:t>That there is and will be substantial amounts of cash on hand at any given time between now and that time</w:t>
            </w:r>
          </w:p>
          <w:p w:rsidR="00971B37" w:rsidRPr="001E0050" w:rsidRDefault="00062538" w:rsidP="00062538">
            <w:r>
              <w:t>The Committee reiterated its c</w:t>
            </w:r>
            <w:r w:rsidR="00564F43">
              <w:t xml:space="preserve">oncern </w:t>
            </w:r>
            <w:r>
              <w:t xml:space="preserve">with the </w:t>
            </w:r>
            <w:r w:rsidR="002A5131">
              <w:t xml:space="preserve">length of time our investment dollars have </w:t>
            </w:r>
            <w:r>
              <w:t xml:space="preserve">and will remain in cash, and the overall pace of investing, which seems, at this time, to be too measured and slow.  The Committee asked Claire to contact Tim Bartholomew to communicate their concerns and to ask him to comment on the current investment strategy (i.e. whether it is justified by market conditions or is simply a response to his perception of Committee and Board risk-tolerance). </w:t>
            </w:r>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971B37" w:rsidP="00A96EC7">
            <w:r>
              <w:t>Financial reporting to the Entire Board</w:t>
            </w:r>
          </w:p>
        </w:tc>
        <w:tc>
          <w:tcPr>
            <w:tcW w:w="12482" w:type="dxa"/>
            <w:gridSpan w:val="2"/>
            <w:tcBorders>
              <w:top w:val="single" w:sz="4" w:space="0" w:color="auto"/>
              <w:left w:val="single" w:sz="4" w:space="0" w:color="auto"/>
              <w:bottom w:val="single" w:sz="4" w:space="0" w:color="auto"/>
            </w:tcBorders>
            <w:vAlign w:val="center"/>
          </w:tcPr>
          <w:p w:rsidR="00A96EC7" w:rsidRPr="00971B37" w:rsidRDefault="00062538" w:rsidP="002413F8">
            <w:pPr>
              <w:spacing w:before="120"/>
              <w:rPr>
                <w:color w:val="000000"/>
              </w:rPr>
            </w:pPr>
            <w:r>
              <w:rPr>
                <w:color w:val="000000"/>
              </w:rPr>
              <w:t xml:space="preserve">The Committee further discussed the shape and format of financial reporting to the Board.  </w:t>
            </w:r>
            <w:r w:rsidR="002413F8">
              <w:rPr>
                <w:color w:val="000000"/>
              </w:rPr>
              <w:t xml:space="preserve">One option discussed was distributing the balance sheet. Also discussed was a dashboard type report, </w:t>
            </w:r>
            <w:r>
              <w:rPr>
                <w:color w:val="000000"/>
              </w:rPr>
              <w:t xml:space="preserve">no more than one page and possibly less, that includes only key metrics such as cash on hand and ratios. </w:t>
            </w:r>
            <w:r w:rsidR="002413F8">
              <w:rPr>
                <w:color w:val="000000"/>
              </w:rPr>
              <w:t xml:space="preserve"> John and Claire will produce a sample and distribute via email for the Committee to review prior to its next meeting.</w:t>
            </w:r>
            <w:bookmarkStart w:id="0" w:name="_GoBack"/>
            <w:bookmarkEnd w:id="0"/>
          </w:p>
        </w:tc>
      </w:tr>
      <w:tr w:rsidR="00A96EC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A96EC7" w:rsidRPr="001E0050" w:rsidRDefault="00A82A4A" w:rsidP="00A96EC7">
            <w:r>
              <w:t>N</w:t>
            </w:r>
            <w:r w:rsidR="00A96EC7">
              <w:t>ext mtng</w:t>
            </w:r>
          </w:p>
        </w:tc>
        <w:tc>
          <w:tcPr>
            <w:tcW w:w="12482" w:type="dxa"/>
            <w:gridSpan w:val="2"/>
            <w:tcBorders>
              <w:top w:val="single" w:sz="4" w:space="0" w:color="auto"/>
              <w:left w:val="single" w:sz="4" w:space="0" w:color="auto"/>
              <w:bottom w:val="single" w:sz="4" w:space="0" w:color="auto"/>
            </w:tcBorders>
            <w:vAlign w:val="center"/>
          </w:tcPr>
          <w:p w:rsidR="00A96EC7" w:rsidRPr="001E0050" w:rsidRDefault="00A96EC7" w:rsidP="00A82A4A">
            <w:pPr>
              <w:spacing w:before="120"/>
            </w:pPr>
            <w:r w:rsidRPr="005D783D">
              <w:t xml:space="preserve">The next meeting is scheduled for </w:t>
            </w:r>
            <w:r w:rsidR="00A82A4A">
              <w:t>September 20, 2016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tbl>
      <w:tblPr>
        <w:tblW w:w="5000" w:type="pct"/>
        <w:tblLook w:val="04A0" w:firstRow="1" w:lastRow="0" w:firstColumn="1" w:lastColumn="0" w:noHBand="0" w:noVBand="1"/>
      </w:tblPr>
      <w:tblGrid>
        <w:gridCol w:w="222"/>
        <w:gridCol w:w="2063"/>
        <w:gridCol w:w="1414"/>
        <w:gridCol w:w="1327"/>
        <w:gridCol w:w="1387"/>
        <w:gridCol w:w="1457"/>
        <w:gridCol w:w="1511"/>
        <w:gridCol w:w="1419"/>
      </w:tblGrid>
      <w:tr w:rsidR="003918B4" w:rsidRPr="003918B4" w:rsidTr="003918B4">
        <w:trPr>
          <w:cantSplit/>
        </w:trPr>
        <w:tc>
          <w:tcPr>
            <w:tcW w:w="10800" w:type="dxa"/>
            <w:gridSpan w:val="8"/>
            <w:tcBorders>
              <w:top w:val="nil"/>
              <w:left w:val="nil"/>
              <w:bottom w:val="nil"/>
              <w:right w:val="nil"/>
            </w:tcBorders>
            <w:shd w:val="clear" w:color="auto" w:fill="auto"/>
            <w:noWrap/>
            <w:vAlign w:val="center"/>
            <w:hideMark/>
          </w:tcPr>
          <w:p w:rsidR="003918B4" w:rsidRPr="003918B4" w:rsidRDefault="003918B4" w:rsidP="003918B4">
            <w:pPr>
              <w:jc w:val="center"/>
              <w:rPr>
                <w:rFonts w:ascii="Calibri" w:hAnsi="Calibri" w:cs="Arial"/>
                <w:b/>
                <w:bCs/>
                <w:color w:val="000000"/>
                <w:sz w:val="36"/>
                <w:szCs w:val="36"/>
              </w:rPr>
            </w:pPr>
            <w:r w:rsidRPr="003918B4">
              <w:rPr>
                <w:rFonts w:ascii="Calibri" w:hAnsi="Calibri" w:cs="Arial"/>
                <w:b/>
                <w:bCs/>
                <w:color w:val="000000"/>
                <w:sz w:val="36"/>
                <w:szCs w:val="36"/>
              </w:rPr>
              <w:lastRenderedPageBreak/>
              <w:t>Finance &amp; Budget Committee Meeting</w:t>
            </w:r>
          </w:p>
        </w:tc>
      </w:tr>
      <w:tr w:rsidR="003918B4" w:rsidRPr="003918B4" w:rsidTr="003918B4">
        <w:trPr>
          <w:cantSplit/>
        </w:trPr>
        <w:tc>
          <w:tcPr>
            <w:tcW w:w="10800" w:type="dxa"/>
            <w:gridSpan w:val="8"/>
            <w:tcBorders>
              <w:top w:val="nil"/>
              <w:left w:val="nil"/>
              <w:bottom w:val="nil"/>
              <w:right w:val="nil"/>
            </w:tcBorders>
            <w:shd w:val="clear" w:color="auto" w:fill="auto"/>
            <w:noWrap/>
            <w:vAlign w:val="center"/>
            <w:hideMark/>
          </w:tcPr>
          <w:p w:rsidR="003918B4" w:rsidRPr="003918B4" w:rsidRDefault="003918B4" w:rsidP="003918B4">
            <w:pPr>
              <w:jc w:val="center"/>
              <w:rPr>
                <w:rFonts w:ascii="Calibri" w:hAnsi="Calibri" w:cs="Arial"/>
                <w:b/>
                <w:bCs/>
                <w:color w:val="000000"/>
                <w:sz w:val="36"/>
                <w:szCs w:val="36"/>
              </w:rPr>
            </w:pPr>
            <w:r w:rsidRPr="003918B4">
              <w:rPr>
                <w:rFonts w:ascii="Calibri" w:hAnsi="Calibri" w:cs="Arial"/>
                <w:b/>
                <w:bCs/>
                <w:color w:val="000000"/>
                <w:sz w:val="36"/>
                <w:szCs w:val="36"/>
              </w:rPr>
              <w:t xml:space="preserve">   Fiscal Highlights</w:t>
            </w:r>
          </w:p>
        </w:tc>
      </w:tr>
      <w:tr w:rsidR="003918B4" w:rsidRPr="003918B4" w:rsidTr="003918B4">
        <w:trPr>
          <w:cantSplit/>
        </w:trPr>
        <w:tc>
          <w:tcPr>
            <w:tcW w:w="10800" w:type="dxa"/>
            <w:gridSpan w:val="8"/>
            <w:tcBorders>
              <w:top w:val="nil"/>
              <w:left w:val="nil"/>
              <w:bottom w:val="nil"/>
              <w:right w:val="nil"/>
            </w:tcBorders>
            <w:shd w:val="clear" w:color="auto" w:fill="auto"/>
            <w:noWrap/>
            <w:vAlign w:val="center"/>
            <w:hideMark/>
          </w:tcPr>
          <w:p w:rsidR="003918B4" w:rsidRPr="003918B4" w:rsidRDefault="003918B4" w:rsidP="003918B4">
            <w:pPr>
              <w:jc w:val="center"/>
              <w:rPr>
                <w:rFonts w:ascii="Calibri" w:hAnsi="Calibri" w:cs="Arial"/>
                <w:b/>
                <w:bCs/>
                <w:color w:val="000000"/>
                <w:sz w:val="36"/>
                <w:szCs w:val="36"/>
              </w:rPr>
            </w:pPr>
            <w:r w:rsidRPr="003918B4">
              <w:rPr>
                <w:rFonts w:ascii="Calibri" w:hAnsi="Calibri" w:cs="Arial"/>
                <w:b/>
                <w:bCs/>
                <w:color w:val="000000"/>
                <w:sz w:val="36"/>
                <w:szCs w:val="36"/>
              </w:rPr>
              <w:t>Monday, July 18, 2016</w:t>
            </w:r>
          </w:p>
        </w:tc>
      </w:tr>
      <w:tr w:rsidR="003918B4" w:rsidRPr="003918B4" w:rsidTr="003918B4">
        <w:trPr>
          <w:cantSplit/>
        </w:trPr>
        <w:tc>
          <w:tcPr>
            <w:tcW w:w="10800" w:type="dxa"/>
            <w:gridSpan w:val="8"/>
            <w:tcBorders>
              <w:top w:val="nil"/>
              <w:left w:val="nil"/>
              <w:bottom w:val="nil"/>
              <w:right w:val="nil"/>
            </w:tcBorders>
            <w:shd w:val="clear" w:color="auto" w:fill="auto"/>
            <w:vAlign w:val="bottom"/>
            <w:hideMark/>
          </w:tcPr>
          <w:p w:rsidR="003918B4" w:rsidRPr="003918B4" w:rsidRDefault="003918B4" w:rsidP="003918B4">
            <w:pPr>
              <w:jc w:val="center"/>
              <w:rPr>
                <w:rFonts w:ascii="Wide Latin" w:hAnsi="Wide Latin" w:cs="Arial"/>
                <w:color w:val="000000"/>
              </w:rPr>
            </w:pPr>
            <w:r w:rsidRPr="003918B4">
              <w:rPr>
                <w:rFonts w:ascii="Wide Latin" w:hAnsi="Wide Latin" w:cs="Arial"/>
                <w:color w:val="000000"/>
              </w:rPr>
              <w:t>Revenue, Support &amp; Expenses</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rFonts w:ascii="Calibri" w:hAnsi="Calibri" w:cs="Arial"/>
                <w:b/>
                <w:bCs/>
                <w:color w:val="000000"/>
              </w:rPr>
              <w:t>Rural Health Network Program</w:t>
            </w:r>
            <w:r w:rsidRPr="003918B4">
              <w:rPr>
                <w:rFonts w:ascii="Calibri" w:hAnsi="Calibri" w:cs="Arial"/>
                <w:color w:val="000000"/>
              </w:rPr>
              <w:t xml:space="preserve"> (04/2016 to 03/2017). Renewal documentation for new contract 16/17 year has been approved. Budget remains the same at $240,000.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rFonts w:ascii="Calibri" w:hAnsi="Calibri" w:cs="Arial"/>
                <w:color w:val="000000"/>
              </w:rPr>
              <w:t xml:space="preserve"> </w:t>
            </w:r>
            <w:r w:rsidRPr="003918B4">
              <w:rPr>
                <w:rFonts w:ascii="Calibri" w:hAnsi="Calibri" w:cs="Arial"/>
                <w:b/>
                <w:bCs/>
                <w:color w:val="000000"/>
              </w:rPr>
              <w:t>Cancer Services Program</w:t>
            </w:r>
            <w:r w:rsidRPr="003918B4">
              <w:rPr>
                <w:rFonts w:ascii="Calibri" w:hAnsi="Calibri" w:cs="Arial"/>
                <w:color w:val="000000"/>
              </w:rPr>
              <w:t xml:space="preserve"> (04/2016 to 03/2017) Renewal documentation for the new contract 16/17 year has been approved. Budget remains the same at $140,000. During the month of May'16, received $35,000 grant advance payment.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rFonts w:ascii="Calibri" w:hAnsi="Calibri" w:cs="Arial"/>
                <w:color w:val="000000"/>
              </w:rPr>
              <w:t xml:space="preserve"> </w:t>
            </w:r>
            <w:r w:rsidRPr="003918B4">
              <w:rPr>
                <w:rFonts w:ascii="Calibri" w:hAnsi="Calibri" w:cs="Arial"/>
                <w:b/>
                <w:bCs/>
                <w:color w:val="000000"/>
              </w:rPr>
              <w:t xml:space="preserve">HRI - Clinical Services </w:t>
            </w:r>
            <w:r w:rsidRPr="003918B4">
              <w:rPr>
                <w:rFonts w:ascii="Calibri" w:hAnsi="Calibri" w:cs="Arial"/>
                <w:color w:val="000000"/>
              </w:rPr>
              <w:t xml:space="preserve">(07/2016 to 06/2017) Awaiting renewal documentation and contract award amount.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rFonts w:ascii="Calibri" w:hAnsi="Calibri" w:cs="Arial"/>
                <w:color w:val="000000"/>
              </w:rPr>
              <w:t xml:space="preserve"> </w:t>
            </w:r>
            <w:r w:rsidRPr="003918B4">
              <w:rPr>
                <w:rFonts w:ascii="Calibri" w:hAnsi="Calibri" w:cs="Arial"/>
                <w:b/>
                <w:bCs/>
                <w:color w:val="000000"/>
              </w:rPr>
              <w:t>Tobacco-Free Program</w:t>
            </w:r>
            <w:r w:rsidRPr="003918B4">
              <w:rPr>
                <w:rFonts w:ascii="Calibri" w:hAnsi="Calibri" w:cs="Arial"/>
                <w:color w:val="000000"/>
              </w:rPr>
              <w:t xml:space="preserve"> (07/2016 to 06/2017) Renewal documentation for the new contract 16/17 year has been submitted for approval. Budget remains the same at $319,000. During the month of July'16, received $79,750 grant advance payment.</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rFonts w:ascii="Calibri" w:hAnsi="Calibri" w:cs="Arial"/>
                <w:color w:val="000000"/>
              </w:rPr>
              <w:t xml:space="preserve"> </w:t>
            </w:r>
            <w:r w:rsidRPr="003918B4">
              <w:rPr>
                <w:rFonts w:ascii="Calibri" w:hAnsi="Calibri" w:cs="Arial"/>
                <w:b/>
                <w:bCs/>
                <w:color w:val="000000"/>
              </w:rPr>
              <w:t>Navigator Program</w:t>
            </w:r>
            <w:r w:rsidRPr="003918B4">
              <w:rPr>
                <w:rFonts w:ascii="Calibri" w:hAnsi="Calibri" w:cs="Arial"/>
                <w:color w:val="000000"/>
              </w:rPr>
              <w:t xml:space="preserve"> (10/2016 to 09/2017) Renewal documentation for the new contract 16/17 year has been received and must be submitted before July 30, 2016 for approval. Budget remains the same at $315,000.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b/>
                <w:bCs/>
                <w:color w:val="000000"/>
              </w:rPr>
              <w:t>Galvan Foundation</w:t>
            </w:r>
            <w:r w:rsidRPr="003918B4">
              <w:rPr>
                <w:rFonts w:ascii="Calibri" w:hAnsi="Calibri" w:cs="Arial"/>
                <w:color w:val="000000"/>
              </w:rPr>
              <w:t xml:space="preserve"> - In 2015, CCCHC and Operation Unite of NY have signed a MOU in the amount of $19,450 with the goal to train up to six Bengali Youths as Community Health Workers &amp; for the six to work as Community Health Workers within the Bengali community. As of June 2016, Operations Unite has submitted vouchers totaling $16,399 of which all of the $5,000 grant advance was been recouped.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b/>
                <w:bCs/>
                <w:color w:val="000000"/>
              </w:rPr>
              <w:t xml:space="preserve">Greene County DSS  </w:t>
            </w:r>
            <w:r w:rsidRPr="003918B4">
              <w:rPr>
                <w:color w:val="000000"/>
              </w:rPr>
              <w:t>(08/2016 to 04/2017) new $35,917 agreement for the HEAP year to provide two per-diem employees.</w:t>
            </w:r>
          </w:p>
        </w:tc>
      </w:tr>
      <w:tr w:rsidR="003918B4" w:rsidRPr="003918B4" w:rsidTr="003918B4">
        <w:trPr>
          <w:cantSplit/>
        </w:trPr>
        <w:tc>
          <w:tcPr>
            <w:tcW w:w="10800" w:type="dxa"/>
            <w:gridSpan w:val="8"/>
            <w:tcBorders>
              <w:top w:val="nil"/>
              <w:left w:val="nil"/>
              <w:bottom w:val="nil"/>
              <w:right w:val="nil"/>
            </w:tcBorders>
            <w:shd w:val="clear" w:color="auto" w:fill="auto"/>
            <w:vAlign w:val="bottom"/>
            <w:hideMark/>
          </w:tcPr>
          <w:p w:rsidR="003918B4" w:rsidRPr="003918B4" w:rsidRDefault="003918B4" w:rsidP="003918B4">
            <w:pPr>
              <w:jc w:val="center"/>
              <w:rPr>
                <w:rFonts w:ascii="Wide Latin" w:hAnsi="Wide Latin" w:cs="Arial"/>
                <w:color w:val="000000"/>
              </w:rPr>
            </w:pPr>
            <w:bookmarkStart w:id="1" w:name="RANGE!A12:H27"/>
            <w:r w:rsidRPr="003918B4">
              <w:rPr>
                <w:rFonts w:ascii="Wide Latin" w:hAnsi="Wide Latin" w:cs="Arial"/>
                <w:color w:val="000000"/>
              </w:rPr>
              <w:t>Grant Receivable</w:t>
            </w:r>
            <w:bookmarkEnd w:id="1"/>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rFonts w:ascii="Calibri" w:hAnsi="Calibri" w:cs="Arial"/>
                <w:b/>
                <w:bCs/>
                <w:color w:val="000000"/>
              </w:rPr>
              <w:t xml:space="preserve">Grant Receivable - </w:t>
            </w:r>
            <w:r w:rsidRPr="003918B4">
              <w:rPr>
                <w:rFonts w:ascii="Calibri" w:hAnsi="Calibri" w:cs="Arial"/>
                <w:color w:val="000000"/>
              </w:rPr>
              <w:t xml:space="preserve">  As of June 30, 2016 our Grant Receivable is $372,824. Expectation is that we will collect on all receivables. Not aware of any issues. Summary as follows:</w:t>
            </w: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rPr>
                <w:rFonts w:ascii="Wingdings" w:hAnsi="Wingdings" w:cs="Arial"/>
                <w:color w:val="000000"/>
              </w:rPr>
            </w:pPr>
          </w:p>
        </w:tc>
        <w:tc>
          <w:tcPr>
            <w:tcW w:w="3518" w:type="dxa"/>
            <w:gridSpan w:val="2"/>
            <w:tcBorders>
              <w:top w:val="nil"/>
              <w:left w:val="nil"/>
              <w:bottom w:val="nil"/>
              <w:right w:val="nil"/>
            </w:tcBorders>
            <w:shd w:val="clear" w:color="auto" w:fill="auto"/>
            <w:hideMark/>
          </w:tcPr>
          <w:p w:rsidR="003918B4" w:rsidRPr="003918B4" w:rsidRDefault="003918B4" w:rsidP="003918B4">
            <w:pPr>
              <w:jc w:val="center"/>
              <w:rPr>
                <w:sz w:val="20"/>
                <w:szCs w:val="20"/>
              </w:rPr>
            </w:pPr>
          </w:p>
        </w:tc>
        <w:tc>
          <w:tcPr>
            <w:tcW w:w="1221"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03" w:type="dxa"/>
            <w:tcBorders>
              <w:top w:val="nil"/>
              <w:left w:val="nil"/>
              <w:bottom w:val="nil"/>
              <w:right w:val="nil"/>
            </w:tcBorders>
            <w:shd w:val="clear" w:color="auto" w:fill="auto"/>
            <w:vAlign w:val="bottom"/>
            <w:hideMark/>
          </w:tcPr>
          <w:p w:rsidR="003918B4" w:rsidRPr="003918B4" w:rsidRDefault="003918B4" w:rsidP="003918B4">
            <w:pPr>
              <w:jc w:val="center"/>
              <w:rPr>
                <w:color w:val="000000"/>
              </w:rPr>
            </w:pPr>
            <w:r w:rsidRPr="003918B4">
              <w:rPr>
                <w:color w:val="000000"/>
              </w:rPr>
              <w:t>Amount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center"/>
              <w:rPr>
                <w:color w:val="000000"/>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right"/>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right"/>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Rural Health Network Program</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52,861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Navigator Health Exchange Program</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64,883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Tobacco-Free Program</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91,469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Cancer Services Program</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98,158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Transportation-Medicaid</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43,631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Other Columbia County Programs</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20,332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jc w:val="center"/>
              <w:rPr>
                <w:sz w:val="20"/>
                <w:szCs w:val="20"/>
              </w:rPr>
            </w:pPr>
          </w:p>
        </w:tc>
        <w:tc>
          <w:tcPr>
            <w:tcW w:w="2651"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Greene County DSS</w:t>
            </w:r>
          </w:p>
        </w:tc>
        <w:tc>
          <w:tcPr>
            <w:tcW w:w="1403" w:type="dxa"/>
            <w:tcBorders>
              <w:top w:val="nil"/>
              <w:left w:val="nil"/>
              <w:bottom w:val="nil"/>
              <w:right w:val="nil"/>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1,492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rFonts w:ascii="Arial" w:hAnsi="Arial" w:cs="Arial"/>
                <w:color w:val="000000"/>
                <w:sz w:val="22"/>
                <w:szCs w:val="22"/>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3518" w:type="dxa"/>
            <w:gridSpan w:val="2"/>
            <w:tcBorders>
              <w:top w:val="nil"/>
              <w:left w:val="nil"/>
              <w:bottom w:val="nil"/>
              <w:right w:val="nil"/>
            </w:tcBorders>
            <w:shd w:val="clear" w:color="auto" w:fill="auto"/>
            <w:hideMark/>
          </w:tcPr>
          <w:p w:rsidR="003918B4" w:rsidRPr="003918B4" w:rsidRDefault="003918B4" w:rsidP="003918B4">
            <w:pPr>
              <w:jc w:val="center"/>
              <w:rPr>
                <w:color w:val="000000"/>
              </w:rPr>
            </w:pPr>
            <w:r w:rsidRPr="003918B4">
              <w:rPr>
                <w:color w:val="000000"/>
              </w:rPr>
              <w:t>Total Grant Receivable</w:t>
            </w:r>
          </w:p>
        </w:tc>
        <w:tc>
          <w:tcPr>
            <w:tcW w:w="1221" w:type="dxa"/>
            <w:tcBorders>
              <w:top w:val="nil"/>
              <w:left w:val="nil"/>
              <w:bottom w:val="nil"/>
              <w:right w:val="nil"/>
            </w:tcBorders>
            <w:shd w:val="clear" w:color="auto" w:fill="auto"/>
            <w:vAlign w:val="bottom"/>
            <w:hideMark/>
          </w:tcPr>
          <w:p w:rsidR="003918B4" w:rsidRPr="003918B4" w:rsidRDefault="003918B4" w:rsidP="003918B4">
            <w:pPr>
              <w:jc w:val="center"/>
              <w:rPr>
                <w:color w:val="000000"/>
              </w:rPr>
            </w:pPr>
          </w:p>
        </w:tc>
        <w:tc>
          <w:tcPr>
            <w:tcW w:w="1403" w:type="dxa"/>
            <w:tcBorders>
              <w:top w:val="single" w:sz="4" w:space="0" w:color="auto"/>
              <w:left w:val="nil"/>
              <w:bottom w:val="double" w:sz="6" w:space="0" w:color="auto"/>
              <w:right w:val="nil"/>
            </w:tcBorders>
            <w:shd w:val="clear" w:color="auto" w:fill="auto"/>
            <w:vAlign w:val="bottom"/>
            <w:hideMark/>
          </w:tcPr>
          <w:p w:rsidR="003918B4" w:rsidRPr="003918B4" w:rsidRDefault="003918B4" w:rsidP="003918B4">
            <w:pPr>
              <w:jc w:val="right"/>
              <w:rPr>
                <w:color w:val="000000"/>
              </w:rPr>
            </w:pPr>
            <w:r w:rsidRPr="003918B4">
              <w:rPr>
                <w:color w:val="000000"/>
              </w:rPr>
              <w:t xml:space="preserve">$372,824 </w:t>
            </w: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color w:val="000000"/>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noProof/>
                <w:color w:val="000000"/>
                <w:sz w:val="22"/>
                <w:szCs w:val="22"/>
              </w:rPr>
              <w:drawing>
                <wp:anchor distT="0" distB="0" distL="114300" distR="114300" simplePos="0" relativeHeight="251659264" behindDoc="0" locked="0" layoutInCell="1" allowOverlap="1">
                  <wp:simplePos x="0" y="0"/>
                  <wp:positionH relativeFrom="column">
                    <wp:posOffset>762000</wp:posOffset>
                  </wp:positionH>
                  <wp:positionV relativeFrom="paragraph">
                    <wp:posOffset>47625</wp:posOffset>
                  </wp:positionV>
                  <wp:extent cx="6334125" cy="2762250"/>
                  <wp:effectExtent l="0" t="0" r="9525" b="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80"/>
            </w:tblGrid>
            <w:tr w:rsidR="003918B4" w:rsidRPr="003918B4">
              <w:trPr>
                <w:trHeight w:val="1485"/>
                <w:tblCellSpacing w:w="0" w:type="dxa"/>
              </w:trPr>
              <w:tc>
                <w:tcPr>
                  <w:tcW w:w="1780"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bl>
          <w:p w:rsidR="003918B4" w:rsidRPr="003918B4" w:rsidRDefault="003918B4" w:rsidP="003918B4">
            <w:pPr>
              <w:rPr>
                <w:rFonts w:ascii="Arial" w:hAnsi="Arial" w:cs="Arial"/>
                <w:color w:val="000000"/>
                <w:sz w:val="22"/>
                <w:szCs w:val="22"/>
              </w:rPr>
            </w:pPr>
          </w:p>
        </w:tc>
        <w:tc>
          <w:tcPr>
            <w:tcW w:w="143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221"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03"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sz w:val="20"/>
                <w:szCs w:val="20"/>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hideMark/>
          </w:tcPr>
          <w:p w:rsidR="003918B4" w:rsidRPr="003918B4" w:rsidRDefault="003918B4" w:rsidP="003918B4">
            <w:pPr>
              <w:jc w:val="cente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jc w:val="center"/>
              <w:rPr>
                <w:sz w:val="20"/>
                <w:szCs w:val="20"/>
              </w:rPr>
            </w:pPr>
          </w:p>
        </w:tc>
        <w:tc>
          <w:tcPr>
            <w:tcW w:w="1221"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03"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sz w:val="20"/>
                <w:szCs w:val="20"/>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220"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2088" w:type="dxa"/>
            <w:tcBorders>
              <w:top w:val="nil"/>
              <w:left w:val="nil"/>
              <w:bottom w:val="nil"/>
              <w:right w:val="nil"/>
            </w:tcBorders>
            <w:shd w:val="clear" w:color="auto" w:fill="auto"/>
            <w:hideMark/>
          </w:tcPr>
          <w:p w:rsidR="003918B4" w:rsidRPr="003918B4" w:rsidRDefault="003918B4" w:rsidP="003918B4">
            <w:pPr>
              <w:jc w:val="cente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jc w:val="center"/>
              <w:rPr>
                <w:sz w:val="20"/>
                <w:szCs w:val="20"/>
              </w:rPr>
            </w:pPr>
          </w:p>
        </w:tc>
        <w:tc>
          <w:tcPr>
            <w:tcW w:w="1221"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03"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74" w:type="dxa"/>
            <w:tcBorders>
              <w:top w:val="nil"/>
              <w:left w:val="nil"/>
              <w:bottom w:val="nil"/>
              <w:right w:val="nil"/>
            </w:tcBorders>
            <w:shd w:val="clear" w:color="auto" w:fill="auto"/>
            <w:vAlign w:val="bottom"/>
            <w:hideMark/>
          </w:tcPr>
          <w:p w:rsidR="003918B4" w:rsidRPr="003918B4" w:rsidRDefault="003918B4" w:rsidP="003918B4">
            <w:pPr>
              <w:jc w:val="right"/>
              <w:rPr>
                <w:sz w:val="20"/>
                <w:szCs w:val="20"/>
              </w:rPr>
            </w:pPr>
          </w:p>
        </w:tc>
        <w:tc>
          <w:tcPr>
            <w:tcW w:w="1529"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c>
          <w:tcPr>
            <w:tcW w:w="1435" w:type="dxa"/>
            <w:tcBorders>
              <w:top w:val="nil"/>
              <w:left w:val="nil"/>
              <w:bottom w:val="nil"/>
              <w:right w:val="nil"/>
            </w:tcBorders>
            <w:shd w:val="clear" w:color="auto" w:fill="auto"/>
            <w:vAlign w:val="bottom"/>
            <w:hideMark/>
          </w:tcPr>
          <w:p w:rsidR="003918B4" w:rsidRPr="003918B4" w:rsidRDefault="003918B4" w:rsidP="003918B4">
            <w:pPr>
              <w:jc w:val="center"/>
              <w:rPr>
                <w:sz w:val="20"/>
                <w:szCs w:val="20"/>
              </w:rPr>
            </w:pP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lastRenderedPageBreak/>
              <w:t></w:t>
            </w:r>
            <w:r w:rsidRPr="003918B4">
              <w:rPr>
                <w:color w:val="000000"/>
              </w:rPr>
              <w:t xml:space="preserve"> </w:t>
            </w:r>
            <w:r w:rsidRPr="003918B4">
              <w:rPr>
                <w:rFonts w:ascii="Calibri" w:hAnsi="Calibri" w:cs="Arial"/>
                <w:b/>
                <w:bCs/>
                <w:color w:val="000000"/>
              </w:rPr>
              <w:t>Cancer Services Program-Infrastructure</w:t>
            </w:r>
            <w:r w:rsidRPr="003918B4">
              <w:rPr>
                <w:rFonts w:ascii="Calibri" w:hAnsi="Calibri" w:cs="Arial"/>
                <w:color w:val="000000"/>
              </w:rPr>
              <w:t xml:space="preserve"> Outstanding vouchers goes back to the month of September 2015. Vouchers Sept 2015 thru March 2016 totaling $66,996 are pending on NYS Statewide Financial System website. </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b/>
                <w:bCs/>
                <w:color w:val="000000"/>
              </w:rPr>
              <w:t>Medicaid Transportation Claims</w:t>
            </w:r>
            <w:r w:rsidRPr="003918B4">
              <w:rPr>
                <w:color w:val="000000"/>
              </w:rPr>
              <w:t xml:space="preserve"> - Due to short staff in the Fiscal Dept.,we fell behind in completing Medicaid claims. At present, Medicaid claims have been completed thru June 03, 2016. </w:t>
            </w:r>
          </w:p>
        </w:tc>
      </w:tr>
      <w:tr w:rsidR="003918B4" w:rsidRPr="003918B4" w:rsidTr="003918B4">
        <w:trPr>
          <w:cantSplit/>
        </w:trPr>
        <w:tc>
          <w:tcPr>
            <w:tcW w:w="10800" w:type="dxa"/>
            <w:gridSpan w:val="8"/>
            <w:tcBorders>
              <w:top w:val="nil"/>
              <w:left w:val="nil"/>
              <w:bottom w:val="nil"/>
              <w:right w:val="nil"/>
            </w:tcBorders>
            <w:shd w:val="clear" w:color="auto" w:fill="auto"/>
          </w:tcPr>
          <w:p w:rsidR="003918B4" w:rsidRPr="003918B4" w:rsidRDefault="003918B4" w:rsidP="003918B4">
            <w:pPr>
              <w:rPr>
                <w:rFonts w:ascii="Wingdings" w:hAnsi="Wingdings" w:cs="Arial"/>
                <w:color w:val="000000"/>
              </w:rPr>
            </w:pPr>
          </w:p>
        </w:tc>
      </w:tr>
      <w:tr w:rsidR="003918B4" w:rsidRPr="003918B4" w:rsidTr="003918B4">
        <w:trPr>
          <w:cantSplit/>
        </w:trPr>
        <w:tc>
          <w:tcPr>
            <w:tcW w:w="10800" w:type="dxa"/>
            <w:gridSpan w:val="8"/>
            <w:tcBorders>
              <w:top w:val="nil"/>
              <w:left w:val="nil"/>
              <w:bottom w:val="nil"/>
              <w:right w:val="nil"/>
            </w:tcBorders>
            <w:shd w:val="clear" w:color="auto" w:fill="auto"/>
            <w:vAlign w:val="bottom"/>
            <w:hideMark/>
          </w:tcPr>
          <w:p w:rsidR="003918B4" w:rsidRPr="003918B4" w:rsidRDefault="003918B4" w:rsidP="003918B4">
            <w:pPr>
              <w:jc w:val="center"/>
              <w:rPr>
                <w:rFonts w:ascii="Wide Latin" w:hAnsi="Wide Latin" w:cs="Arial"/>
                <w:color w:val="000000"/>
              </w:rPr>
            </w:pPr>
            <w:r w:rsidRPr="003918B4">
              <w:rPr>
                <w:rFonts w:ascii="Wide Latin" w:hAnsi="Wide Latin" w:cs="Arial"/>
                <w:color w:val="000000"/>
              </w:rPr>
              <w:t>Statement of Financial Position</w:t>
            </w: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noProof/>
                <w:color w:val="000000"/>
              </w:rPr>
              <w:drawing>
                <wp:anchor distT="0" distB="0" distL="114300" distR="114300" simplePos="0" relativeHeight="251660288" behindDoc="0" locked="0" layoutInCell="1" allowOverlap="1" wp14:anchorId="6D9BCA1C" wp14:editId="0CA5780E">
                  <wp:simplePos x="0" y="0"/>
                  <wp:positionH relativeFrom="column">
                    <wp:posOffset>-26439</wp:posOffset>
                  </wp:positionH>
                  <wp:positionV relativeFrom="paragraph">
                    <wp:posOffset>722902</wp:posOffset>
                  </wp:positionV>
                  <wp:extent cx="6816436" cy="2499756"/>
                  <wp:effectExtent l="0" t="0" r="3810" b="1524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3918B4">
              <w:rPr>
                <w:rFonts w:ascii="Wingdings" w:hAnsi="Wingdings" w:cs="Arial"/>
                <w:color w:val="000000"/>
              </w:rPr>
              <w:t></w:t>
            </w:r>
            <w:r w:rsidRPr="003918B4">
              <w:rPr>
                <w:b/>
                <w:bCs/>
                <w:color w:val="000000"/>
              </w:rPr>
              <w:t xml:space="preserve"> Cash</w:t>
            </w:r>
            <w:r w:rsidRPr="003918B4">
              <w:rPr>
                <w:rFonts w:ascii="Calibri" w:hAnsi="Calibri" w:cs="Arial"/>
                <w:color w:val="000000"/>
              </w:rPr>
              <w:t xml:space="preserve"> -  Cash balance in the operating checking account started the year off with $316K and today's balance is $293K. Low balance on June 29th was $213K &amp; the high balance on March 18th was $468K. Transferred $120,000 to Essex Investment on March 18th.</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p>
        </w:tc>
        <w:tc>
          <w:tcPr>
            <w:tcW w:w="10580" w:type="dxa"/>
            <w:gridSpan w:val="7"/>
            <w:vMerge w:val="restart"/>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p>
        </w:tc>
        <w:tc>
          <w:tcPr>
            <w:tcW w:w="10580" w:type="dxa"/>
            <w:gridSpan w:val="7"/>
            <w:vMerge/>
            <w:tcBorders>
              <w:top w:val="nil"/>
              <w:left w:val="nil"/>
              <w:bottom w:val="nil"/>
              <w:right w:val="nil"/>
            </w:tcBorders>
            <w:vAlign w:val="center"/>
            <w:hideMark/>
          </w:tcPr>
          <w:p w:rsidR="003918B4" w:rsidRPr="003918B4" w:rsidRDefault="003918B4" w:rsidP="003918B4">
            <w:pPr>
              <w:rPr>
                <w:rFonts w:ascii="Wingdings" w:hAnsi="Wingdings" w:cs="Arial"/>
                <w:color w:val="000000"/>
              </w:rPr>
            </w:pP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0580" w:type="dxa"/>
            <w:gridSpan w:val="7"/>
            <w:vMerge/>
            <w:tcBorders>
              <w:top w:val="nil"/>
              <w:left w:val="nil"/>
              <w:bottom w:val="nil"/>
              <w:right w:val="nil"/>
            </w:tcBorders>
            <w:vAlign w:val="center"/>
            <w:hideMark/>
          </w:tcPr>
          <w:p w:rsidR="003918B4" w:rsidRPr="003918B4" w:rsidRDefault="003918B4" w:rsidP="003918B4">
            <w:pPr>
              <w:rPr>
                <w:rFonts w:ascii="Wingdings" w:hAnsi="Wingdings" w:cs="Arial"/>
                <w:color w:val="000000"/>
              </w:rPr>
            </w:pP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Default="003918B4" w:rsidP="003918B4">
            <w:pPr>
              <w:rPr>
                <w:rFonts w:ascii="Wingdings" w:hAnsi="Wingdings" w:cs="Arial"/>
                <w:color w:val="000000"/>
              </w:rPr>
            </w:pPr>
          </w:p>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b/>
                <w:bCs/>
                <w:color w:val="000000"/>
              </w:rPr>
              <w:t xml:space="preserve"> Investment - Essex National Securities</w:t>
            </w:r>
            <w:r w:rsidRPr="003918B4">
              <w:rPr>
                <w:rFonts w:ascii="Calibri" w:hAnsi="Calibri" w:cs="Arial"/>
                <w:color w:val="000000"/>
              </w:rPr>
              <w:t xml:space="preserve"> - As of June  30, 2016, account value is $151,337 . On  May 16, 2016, $12,000 invested in six different mutual funds at $2,000/fund and June 28, 2016 an additional $10,000 in fix of the six different funds</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p>
        </w:tc>
        <w:tc>
          <w:tcPr>
            <w:tcW w:w="2088" w:type="dxa"/>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Beginning</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Purchases</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Income</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Expenses</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Unrealized Gains</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Ending Balance</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center"/>
              <w:rPr>
                <w:rFonts w:ascii="Arial" w:hAnsi="Arial" w:cs="Arial"/>
                <w:color w:val="000000"/>
                <w:sz w:val="22"/>
                <w:szCs w:val="22"/>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Cash</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151,035.72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FF0000"/>
                <w:sz w:val="22"/>
                <w:szCs w:val="22"/>
              </w:rPr>
              <w:t>(97,025.05)</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45.11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54,055.78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xml:space="preserve">FCISX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4,008.29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8.29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112.10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4,120.39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xml:space="preserve">FRUGX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4,004.52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4.52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FF0000"/>
                <w:sz w:val="22"/>
                <w:szCs w:val="22"/>
              </w:rPr>
              <w:t>(3.14)</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4,001.38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xml:space="preserve">FRGSX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4,000.00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105.98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4,105.98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FCSCX</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4,000.80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0.80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0.01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4,000.81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xml:space="preserve">FSGCX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4,004.57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4.57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32.20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4,036.77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TEGBX</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2,002.87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2.87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7.12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2,009.99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Frederick County Bank CD</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38,002.00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0.00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FF0000"/>
                <w:sz w:val="22"/>
                <w:szCs w:val="22"/>
              </w:rPr>
              <w:t>(2.00)</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7.22 </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38,007.22 </w:t>
            </w:r>
          </w:p>
        </w:tc>
      </w:tr>
      <w:tr w:rsidR="003918B4" w:rsidRPr="003918B4" w:rsidTr="003918B4">
        <w:trPr>
          <w:cantSplit/>
        </w:trPr>
        <w:tc>
          <w:tcPr>
            <w:tcW w:w="220"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single" w:sz="4" w:space="0" w:color="auto"/>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Peoples United Bank CD</w:t>
            </w:r>
          </w:p>
        </w:tc>
        <w:tc>
          <w:tcPr>
            <w:tcW w:w="1430"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w:t>
            </w:r>
          </w:p>
        </w:tc>
        <w:tc>
          <w:tcPr>
            <w:tcW w:w="1221"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37,002.00 </w:t>
            </w:r>
          </w:p>
        </w:tc>
        <w:tc>
          <w:tcPr>
            <w:tcW w:w="1403"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14.52 </w:t>
            </w:r>
          </w:p>
        </w:tc>
        <w:tc>
          <w:tcPr>
            <w:tcW w:w="1474"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FF0000"/>
                <w:sz w:val="22"/>
                <w:szCs w:val="22"/>
              </w:rPr>
              <w:t>(2.00)</w:t>
            </w:r>
          </w:p>
        </w:tc>
        <w:tc>
          <w:tcPr>
            <w:tcW w:w="1529"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FF0000"/>
                <w:sz w:val="22"/>
                <w:szCs w:val="22"/>
              </w:rPr>
              <w:t>(1.48)</w:t>
            </w:r>
          </w:p>
        </w:tc>
        <w:tc>
          <w:tcPr>
            <w:tcW w:w="1435" w:type="dxa"/>
            <w:tcBorders>
              <w:top w:val="nil"/>
              <w:left w:val="nil"/>
              <w:bottom w:val="single" w:sz="4" w:space="0" w:color="auto"/>
              <w:right w:val="single" w:sz="4" w:space="0" w:color="auto"/>
            </w:tcBorders>
            <w:shd w:val="clear" w:color="auto" w:fill="auto"/>
            <w:noWrap/>
            <w:vAlign w:val="bottom"/>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 xml:space="preserve">36,998.52 </w:t>
            </w:r>
          </w:p>
        </w:tc>
      </w:tr>
    </w:tbl>
    <w:p w:rsidR="003918B4" w:rsidRDefault="003918B4">
      <w:r>
        <w:br w:type="page"/>
      </w:r>
    </w:p>
    <w:tbl>
      <w:tblPr>
        <w:tblW w:w="5000" w:type="pct"/>
        <w:tblLook w:val="04A0" w:firstRow="1" w:lastRow="0" w:firstColumn="1" w:lastColumn="0" w:noHBand="0" w:noVBand="1"/>
      </w:tblPr>
      <w:tblGrid>
        <w:gridCol w:w="223"/>
        <w:gridCol w:w="2088"/>
        <w:gridCol w:w="1430"/>
        <w:gridCol w:w="1390"/>
        <w:gridCol w:w="1657"/>
        <w:gridCol w:w="1837"/>
        <w:gridCol w:w="1347"/>
        <w:gridCol w:w="828"/>
      </w:tblGrid>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p>
        </w:tc>
        <w:tc>
          <w:tcPr>
            <w:tcW w:w="2088"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9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65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83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4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828" w:type="dxa"/>
            <w:tcBorders>
              <w:top w:val="nil"/>
              <w:left w:val="nil"/>
              <w:bottom w:val="nil"/>
              <w:right w:val="nil"/>
            </w:tcBorders>
            <w:shd w:val="clear" w:color="auto" w:fill="auto"/>
            <w:hideMark/>
          </w:tcPr>
          <w:p w:rsidR="003918B4" w:rsidRPr="003918B4" w:rsidRDefault="003918B4" w:rsidP="003918B4">
            <w:pPr>
              <w:rPr>
                <w:sz w:val="20"/>
                <w:szCs w:val="20"/>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rPr>
                <w:rFonts w:ascii="Arial" w:hAnsi="Arial" w:cs="Arial"/>
                <w:color w:val="000000"/>
                <w:sz w:val="22"/>
                <w:szCs w:val="22"/>
              </w:rPr>
            </w:pPr>
            <w:r w:rsidRPr="003918B4">
              <w:rPr>
                <w:rFonts w:ascii="Calibri" w:hAnsi="Calibri" w:cs="Arial"/>
                <w:b/>
                <w:bCs/>
                <w:color w:val="000000"/>
                <w:sz w:val="22"/>
                <w:szCs w:val="22"/>
              </w:rPr>
              <w:t>TEGBX</w:t>
            </w:r>
            <w:r w:rsidRPr="003918B4">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rPr>
                <w:rFonts w:ascii="Arial" w:hAnsi="Arial" w:cs="Arial"/>
                <w:color w:val="000000"/>
                <w:sz w:val="22"/>
                <w:szCs w:val="22"/>
              </w:rPr>
            </w:pPr>
            <w:r w:rsidRPr="003918B4">
              <w:rPr>
                <w:rFonts w:ascii="Calibri" w:hAnsi="Calibri" w:cs="Arial"/>
                <w:b/>
                <w:bCs/>
                <w:color w:val="000000"/>
                <w:sz w:val="22"/>
                <w:szCs w:val="22"/>
              </w:rPr>
              <w:t>FSGCX</w:t>
            </w:r>
            <w:r w:rsidRPr="003918B4">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rPr>
                <w:rFonts w:ascii="Arial" w:hAnsi="Arial" w:cs="Arial"/>
                <w:color w:val="000000"/>
                <w:sz w:val="22"/>
                <w:szCs w:val="22"/>
              </w:rPr>
            </w:pPr>
            <w:r w:rsidRPr="003918B4">
              <w:rPr>
                <w:rFonts w:ascii="Calibri" w:hAnsi="Calibri" w:cs="Arial"/>
                <w:b/>
                <w:bCs/>
                <w:color w:val="000000"/>
                <w:sz w:val="22"/>
                <w:szCs w:val="22"/>
              </w:rPr>
              <w:t>FCSCX</w:t>
            </w:r>
            <w:r w:rsidRPr="003918B4">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918B4" w:rsidRPr="003918B4" w:rsidRDefault="003918B4" w:rsidP="003918B4">
            <w:pPr>
              <w:rPr>
                <w:rFonts w:ascii="Arial" w:hAnsi="Arial" w:cs="Arial"/>
                <w:color w:val="000000"/>
                <w:sz w:val="22"/>
                <w:szCs w:val="22"/>
              </w:rPr>
            </w:pPr>
            <w:r w:rsidRPr="003918B4">
              <w:rPr>
                <w:rFonts w:ascii="Calibri" w:hAnsi="Calibri" w:cs="Arial"/>
                <w:b/>
                <w:bCs/>
                <w:color w:val="000000"/>
                <w:sz w:val="22"/>
                <w:szCs w:val="22"/>
              </w:rPr>
              <w:t>FRGSX</w:t>
            </w:r>
            <w:r w:rsidRPr="003918B4">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rPr>
                <w:rFonts w:ascii="Arial" w:hAnsi="Arial" w:cs="Arial"/>
                <w:color w:val="000000"/>
                <w:sz w:val="22"/>
                <w:szCs w:val="22"/>
              </w:rPr>
            </w:pPr>
            <w:r w:rsidRPr="003918B4">
              <w:rPr>
                <w:rFonts w:ascii="Calibri" w:hAnsi="Calibri" w:cs="Arial"/>
                <w:b/>
                <w:bCs/>
                <w:color w:val="000000"/>
                <w:sz w:val="22"/>
                <w:szCs w:val="22"/>
              </w:rPr>
              <w:t>FRUGX</w:t>
            </w:r>
            <w:r w:rsidRPr="003918B4">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9749" w:type="dxa"/>
            <w:gridSpan w:val="6"/>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spacing w:after="240"/>
              <w:rPr>
                <w:rFonts w:ascii="Arial" w:hAnsi="Arial" w:cs="Arial"/>
                <w:color w:val="000000"/>
                <w:sz w:val="22"/>
                <w:szCs w:val="22"/>
              </w:rPr>
            </w:pPr>
            <w:r w:rsidRPr="003918B4">
              <w:rPr>
                <w:rFonts w:ascii="Calibri" w:hAnsi="Calibri" w:cs="Arial"/>
                <w:b/>
                <w:bCs/>
                <w:color w:val="000000"/>
                <w:sz w:val="22"/>
                <w:szCs w:val="22"/>
              </w:rPr>
              <w:t>FCISX</w:t>
            </w:r>
            <w:r w:rsidRPr="003918B4">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828" w:type="dxa"/>
            <w:tcBorders>
              <w:top w:val="nil"/>
              <w:left w:val="nil"/>
              <w:bottom w:val="nil"/>
              <w:right w:val="nil"/>
            </w:tcBorders>
            <w:shd w:val="clear" w:color="auto" w:fill="auto"/>
            <w:hideMark/>
          </w:tcPr>
          <w:p w:rsidR="003918B4" w:rsidRPr="003918B4" w:rsidRDefault="003918B4" w:rsidP="003918B4">
            <w:pPr>
              <w:spacing w:after="240"/>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9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65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83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4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828" w:type="dxa"/>
            <w:tcBorders>
              <w:top w:val="nil"/>
              <w:left w:val="nil"/>
              <w:bottom w:val="nil"/>
              <w:right w:val="nil"/>
            </w:tcBorders>
            <w:shd w:val="clear" w:color="auto" w:fill="auto"/>
            <w:hideMark/>
          </w:tcPr>
          <w:p w:rsidR="003918B4" w:rsidRPr="003918B4" w:rsidRDefault="003918B4" w:rsidP="003918B4">
            <w:pPr>
              <w:rPr>
                <w:sz w:val="20"/>
                <w:szCs w:val="20"/>
              </w:rPr>
            </w:pPr>
          </w:p>
        </w:tc>
      </w:tr>
      <w:tr w:rsidR="003918B4" w:rsidRPr="003918B4" w:rsidTr="003918B4">
        <w:trPr>
          <w:cantSplit/>
        </w:trPr>
        <w:tc>
          <w:tcPr>
            <w:tcW w:w="10800" w:type="dxa"/>
            <w:gridSpan w:val="8"/>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b/>
                <w:bCs/>
                <w:color w:val="000000"/>
              </w:rPr>
              <w:t xml:space="preserve"> Equipment, Furniture &amp; Vehicles</w:t>
            </w:r>
            <w:r w:rsidRPr="003918B4">
              <w:rPr>
                <w:rFonts w:ascii="Calibri" w:hAnsi="Calibri" w:cs="Arial"/>
                <w:color w:val="000000"/>
              </w:rPr>
              <w:t xml:space="preserve"> -Agency purchased the following capital equipment. Also, Jim Funk, Transportation Coordinator, looking on NYS contract with hopes of purchasing a new van to replace existing 2010 Dodge Caravan with 130K miles.</w:t>
            </w: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3918B4" w:rsidRPr="003918B4" w:rsidRDefault="003918B4" w:rsidP="003918B4">
            <w:pPr>
              <w:jc w:val="center"/>
              <w:rPr>
                <w:rFonts w:ascii="Calibri" w:hAnsi="Calibri" w:cs="Arial"/>
                <w:b/>
                <w:bCs/>
                <w:color w:val="000000"/>
                <w:sz w:val="22"/>
                <w:szCs w:val="22"/>
              </w:rPr>
            </w:pPr>
            <w:r w:rsidRPr="003918B4">
              <w:rPr>
                <w:rFonts w:ascii="Calibri" w:hAnsi="Calibri" w:cs="Arial"/>
                <w:b/>
                <w:bCs/>
                <w:color w:val="000000"/>
                <w:sz w:val="22"/>
                <w:szCs w:val="22"/>
              </w:rPr>
              <w:t>Month in Service</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3918B4" w:rsidRPr="003918B4" w:rsidRDefault="003918B4" w:rsidP="003918B4">
            <w:pPr>
              <w:jc w:val="center"/>
              <w:rPr>
                <w:rFonts w:ascii="Calibri" w:hAnsi="Calibri" w:cs="Arial"/>
                <w:b/>
                <w:bCs/>
                <w:color w:val="000000"/>
                <w:sz w:val="22"/>
                <w:szCs w:val="22"/>
              </w:rPr>
            </w:pPr>
            <w:r w:rsidRPr="003918B4">
              <w:rPr>
                <w:rFonts w:ascii="Calibri" w:hAnsi="Calibri" w:cs="Arial"/>
                <w:b/>
                <w:bCs/>
                <w:color w:val="000000"/>
                <w:sz w:val="22"/>
                <w:szCs w:val="22"/>
              </w:rPr>
              <w:t>Funding Source</w:t>
            </w:r>
          </w:p>
        </w:tc>
        <w:tc>
          <w:tcPr>
            <w:tcW w:w="1390" w:type="dxa"/>
            <w:tcBorders>
              <w:top w:val="single" w:sz="4" w:space="0" w:color="auto"/>
              <w:left w:val="nil"/>
              <w:bottom w:val="single" w:sz="4" w:space="0" w:color="auto"/>
              <w:right w:val="single" w:sz="4" w:space="0" w:color="auto"/>
            </w:tcBorders>
            <w:shd w:val="clear" w:color="auto" w:fill="auto"/>
            <w:hideMark/>
          </w:tcPr>
          <w:p w:rsidR="003918B4" w:rsidRPr="003918B4" w:rsidRDefault="003918B4" w:rsidP="003918B4">
            <w:pPr>
              <w:jc w:val="center"/>
              <w:rPr>
                <w:rFonts w:ascii="Calibri" w:hAnsi="Calibri" w:cs="Arial"/>
                <w:b/>
                <w:bCs/>
                <w:color w:val="000000"/>
                <w:sz w:val="22"/>
                <w:szCs w:val="22"/>
              </w:rPr>
            </w:pPr>
            <w:r w:rsidRPr="003918B4">
              <w:rPr>
                <w:rFonts w:ascii="Calibri" w:hAnsi="Calibri" w:cs="Arial"/>
                <w:b/>
                <w:bCs/>
                <w:color w:val="000000"/>
                <w:sz w:val="22"/>
                <w:szCs w:val="22"/>
              </w:rPr>
              <w:t>Supplier</w:t>
            </w:r>
          </w:p>
        </w:tc>
        <w:tc>
          <w:tcPr>
            <w:tcW w:w="3494" w:type="dxa"/>
            <w:gridSpan w:val="2"/>
            <w:tcBorders>
              <w:top w:val="single" w:sz="4" w:space="0" w:color="auto"/>
              <w:left w:val="nil"/>
              <w:bottom w:val="single" w:sz="4" w:space="0" w:color="auto"/>
              <w:right w:val="single" w:sz="4" w:space="0" w:color="auto"/>
            </w:tcBorders>
            <w:shd w:val="clear" w:color="auto" w:fill="auto"/>
            <w:hideMark/>
          </w:tcPr>
          <w:p w:rsidR="003918B4" w:rsidRPr="003918B4" w:rsidRDefault="003918B4" w:rsidP="003918B4">
            <w:pPr>
              <w:jc w:val="center"/>
              <w:rPr>
                <w:rFonts w:ascii="Calibri" w:hAnsi="Calibri" w:cs="Arial"/>
                <w:b/>
                <w:bCs/>
                <w:color w:val="000000"/>
                <w:sz w:val="22"/>
                <w:szCs w:val="22"/>
              </w:rPr>
            </w:pPr>
            <w:r w:rsidRPr="003918B4">
              <w:rPr>
                <w:rFonts w:ascii="Calibri" w:hAnsi="Calibri" w:cs="Arial"/>
                <w:b/>
                <w:bCs/>
                <w:color w:val="000000"/>
                <w:sz w:val="22"/>
                <w:szCs w:val="22"/>
              </w:rPr>
              <w:t>Description</w:t>
            </w:r>
          </w:p>
        </w:tc>
        <w:tc>
          <w:tcPr>
            <w:tcW w:w="1347" w:type="dxa"/>
            <w:tcBorders>
              <w:top w:val="single" w:sz="4" w:space="0" w:color="auto"/>
              <w:left w:val="nil"/>
              <w:bottom w:val="single" w:sz="4" w:space="0" w:color="auto"/>
              <w:right w:val="single" w:sz="4" w:space="0" w:color="auto"/>
            </w:tcBorders>
            <w:shd w:val="clear" w:color="auto" w:fill="auto"/>
            <w:hideMark/>
          </w:tcPr>
          <w:p w:rsidR="003918B4" w:rsidRPr="003918B4" w:rsidRDefault="003918B4" w:rsidP="003918B4">
            <w:pPr>
              <w:jc w:val="center"/>
              <w:rPr>
                <w:rFonts w:ascii="Calibri" w:hAnsi="Calibri" w:cs="Arial"/>
                <w:b/>
                <w:bCs/>
                <w:color w:val="000000"/>
                <w:sz w:val="22"/>
                <w:szCs w:val="22"/>
              </w:rPr>
            </w:pPr>
            <w:r w:rsidRPr="003918B4">
              <w:rPr>
                <w:rFonts w:ascii="Calibri" w:hAnsi="Calibri" w:cs="Arial"/>
                <w:b/>
                <w:bCs/>
                <w:color w:val="000000"/>
                <w:sz w:val="22"/>
                <w:szCs w:val="22"/>
              </w:rPr>
              <w:t>Cost</w:t>
            </w:r>
          </w:p>
        </w:tc>
        <w:tc>
          <w:tcPr>
            <w:tcW w:w="828" w:type="dxa"/>
            <w:tcBorders>
              <w:top w:val="nil"/>
              <w:left w:val="nil"/>
              <w:bottom w:val="nil"/>
              <w:right w:val="nil"/>
            </w:tcBorders>
            <w:shd w:val="clear" w:color="auto" w:fill="auto"/>
            <w:hideMark/>
          </w:tcPr>
          <w:p w:rsidR="003918B4" w:rsidRPr="003918B4" w:rsidRDefault="003918B4" w:rsidP="003918B4">
            <w:pPr>
              <w:jc w:val="center"/>
              <w:rPr>
                <w:rFonts w:ascii="Calibri" w:hAnsi="Calibri" w:cs="Arial"/>
                <w:b/>
                <w:bCs/>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Apr-16</w:t>
            </w:r>
          </w:p>
        </w:tc>
        <w:tc>
          <w:tcPr>
            <w:tcW w:w="143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OFA: NY Connects</w:t>
            </w:r>
          </w:p>
        </w:tc>
        <w:tc>
          <w:tcPr>
            <w:tcW w:w="139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Intelligent Tech Solutions </w:t>
            </w:r>
          </w:p>
        </w:tc>
        <w:tc>
          <w:tcPr>
            <w:tcW w:w="3494" w:type="dxa"/>
            <w:gridSpan w:val="2"/>
            <w:tcBorders>
              <w:top w:val="single" w:sz="4" w:space="0" w:color="auto"/>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Dell Optiplex 9030 Computer</w:t>
            </w:r>
          </w:p>
        </w:tc>
        <w:tc>
          <w:tcPr>
            <w:tcW w:w="1347"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                  1,343 </w:t>
            </w:r>
          </w:p>
        </w:tc>
        <w:tc>
          <w:tcPr>
            <w:tcW w:w="828" w:type="dxa"/>
            <w:tcBorders>
              <w:top w:val="nil"/>
              <w:left w:val="nil"/>
              <w:bottom w:val="nil"/>
              <w:right w:val="nil"/>
            </w:tcBorders>
            <w:shd w:val="clear" w:color="auto" w:fill="auto"/>
            <w:hideMark/>
          </w:tcPr>
          <w:p w:rsidR="003918B4" w:rsidRPr="003918B4" w:rsidRDefault="003918B4" w:rsidP="003918B4">
            <w:pPr>
              <w:jc w:val="cente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Apr-16</w:t>
            </w:r>
          </w:p>
        </w:tc>
        <w:tc>
          <w:tcPr>
            <w:tcW w:w="143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OFA: NYC - EEP</w:t>
            </w:r>
          </w:p>
        </w:tc>
        <w:tc>
          <w:tcPr>
            <w:tcW w:w="139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Intelligent Tech Solutions </w:t>
            </w:r>
          </w:p>
        </w:tc>
        <w:tc>
          <w:tcPr>
            <w:tcW w:w="3494" w:type="dxa"/>
            <w:gridSpan w:val="2"/>
            <w:tcBorders>
              <w:top w:val="single" w:sz="4" w:space="0" w:color="auto"/>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Dell Optiplex 9030 Computer</w:t>
            </w:r>
          </w:p>
        </w:tc>
        <w:tc>
          <w:tcPr>
            <w:tcW w:w="1347"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1,210 </w:t>
            </w:r>
          </w:p>
        </w:tc>
        <w:tc>
          <w:tcPr>
            <w:tcW w:w="828" w:type="dxa"/>
            <w:tcBorders>
              <w:top w:val="nil"/>
              <w:left w:val="nil"/>
              <w:bottom w:val="nil"/>
              <w:right w:val="nil"/>
            </w:tcBorders>
            <w:shd w:val="clear" w:color="auto" w:fill="auto"/>
            <w:hideMark/>
          </w:tcPr>
          <w:p w:rsidR="003918B4" w:rsidRPr="003918B4" w:rsidRDefault="003918B4" w:rsidP="003918B4">
            <w:pPr>
              <w:jc w:val="cente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tcBorders>
              <w:top w:val="nil"/>
              <w:left w:val="single" w:sz="4" w:space="0" w:color="auto"/>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Jul-16</w:t>
            </w:r>
          </w:p>
        </w:tc>
        <w:tc>
          <w:tcPr>
            <w:tcW w:w="143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OFA: NYC - EEP</w:t>
            </w:r>
          </w:p>
        </w:tc>
        <w:tc>
          <w:tcPr>
            <w:tcW w:w="1390"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Standard Commercial Interiors </w:t>
            </w:r>
          </w:p>
        </w:tc>
        <w:tc>
          <w:tcPr>
            <w:tcW w:w="3494" w:type="dxa"/>
            <w:gridSpan w:val="2"/>
            <w:tcBorders>
              <w:top w:val="single" w:sz="4" w:space="0" w:color="auto"/>
              <w:left w:val="nil"/>
              <w:bottom w:val="single" w:sz="4" w:space="0" w:color="auto"/>
              <w:right w:val="single" w:sz="4" w:space="0" w:color="000000"/>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Workstation/Desk</w:t>
            </w:r>
          </w:p>
        </w:tc>
        <w:tc>
          <w:tcPr>
            <w:tcW w:w="1347" w:type="dxa"/>
            <w:tcBorders>
              <w:top w:val="nil"/>
              <w:left w:val="nil"/>
              <w:bottom w:val="single" w:sz="4" w:space="0" w:color="auto"/>
              <w:right w:val="single" w:sz="4" w:space="0" w:color="auto"/>
            </w:tcBorders>
            <w:shd w:val="clear" w:color="auto" w:fill="auto"/>
            <w:vAlign w:val="center"/>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 xml:space="preserve">                     1,319 </w:t>
            </w:r>
          </w:p>
        </w:tc>
        <w:tc>
          <w:tcPr>
            <w:tcW w:w="828" w:type="dxa"/>
            <w:tcBorders>
              <w:top w:val="nil"/>
              <w:left w:val="nil"/>
              <w:bottom w:val="nil"/>
              <w:right w:val="nil"/>
            </w:tcBorders>
            <w:shd w:val="clear" w:color="auto" w:fill="auto"/>
            <w:hideMark/>
          </w:tcPr>
          <w:p w:rsidR="003918B4" w:rsidRPr="003918B4" w:rsidRDefault="003918B4" w:rsidP="003918B4">
            <w:pPr>
              <w:jc w:val="center"/>
              <w:rPr>
                <w:rFonts w:ascii="Arial" w:hAnsi="Arial" w:cs="Arial"/>
                <w:color w:val="000000"/>
                <w:sz w:val="22"/>
                <w:szCs w:val="22"/>
              </w:rPr>
            </w:pPr>
          </w:p>
        </w:tc>
      </w:tr>
      <w:tr w:rsidR="003918B4" w:rsidRPr="003918B4" w:rsidTr="003918B4">
        <w:trPr>
          <w:cantSplit/>
        </w:trPr>
        <w:tc>
          <w:tcPr>
            <w:tcW w:w="223"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9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657"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837" w:type="dxa"/>
            <w:tcBorders>
              <w:top w:val="nil"/>
              <w:left w:val="nil"/>
              <w:bottom w:val="nil"/>
              <w:right w:val="nil"/>
            </w:tcBorders>
            <w:shd w:val="clear" w:color="auto" w:fill="auto"/>
            <w:hideMark/>
          </w:tcPr>
          <w:p w:rsidR="003918B4" w:rsidRPr="003918B4" w:rsidRDefault="003918B4" w:rsidP="003918B4">
            <w:pPr>
              <w:jc w:val="right"/>
              <w:rPr>
                <w:rFonts w:ascii="Arial" w:hAnsi="Arial" w:cs="Arial"/>
                <w:color w:val="000000"/>
                <w:sz w:val="22"/>
                <w:szCs w:val="22"/>
              </w:rPr>
            </w:pPr>
            <w:r w:rsidRPr="003918B4">
              <w:rPr>
                <w:rFonts w:ascii="Arial" w:hAnsi="Arial" w:cs="Arial"/>
                <w:color w:val="000000"/>
                <w:sz w:val="22"/>
                <w:szCs w:val="22"/>
              </w:rPr>
              <w:t>Total</w:t>
            </w:r>
          </w:p>
        </w:tc>
        <w:tc>
          <w:tcPr>
            <w:tcW w:w="1347" w:type="dxa"/>
            <w:tcBorders>
              <w:top w:val="nil"/>
              <w:left w:val="single" w:sz="4" w:space="0" w:color="auto"/>
              <w:bottom w:val="single" w:sz="4" w:space="0" w:color="auto"/>
              <w:right w:val="single" w:sz="4" w:space="0" w:color="auto"/>
            </w:tcBorders>
            <w:shd w:val="clear" w:color="auto" w:fill="auto"/>
            <w:hideMark/>
          </w:tcPr>
          <w:p w:rsidR="003918B4" w:rsidRPr="003918B4" w:rsidRDefault="003918B4" w:rsidP="003918B4">
            <w:pPr>
              <w:rPr>
                <w:rFonts w:ascii="Arial" w:hAnsi="Arial" w:cs="Arial"/>
                <w:color w:val="000000"/>
                <w:sz w:val="22"/>
                <w:szCs w:val="22"/>
              </w:rPr>
            </w:pPr>
            <w:r w:rsidRPr="003918B4">
              <w:rPr>
                <w:rFonts w:ascii="Arial" w:hAnsi="Arial" w:cs="Arial"/>
                <w:color w:val="000000"/>
                <w:sz w:val="22"/>
                <w:szCs w:val="22"/>
              </w:rPr>
              <w:t xml:space="preserve"> $                  3,872 </w:t>
            </w:r>
          </w:p>
        </w:tc>
        <w:tc>
          <w:tcPr>
            <w:tcW w:w="828" w:type="dxa"/>
            <w:tcBorders>
              <w:top w:val="nil"/>
              <w:left w:val="nil"/>
              <w:bottom w:val="nil"/>
              <w:right w:val="nil"/>
            </w:tcBorders>
            <w:shd w:val="clear" w:color="auto" w:fill="auto"/>
            <w:hideMark/>
          </w:tcPr>
          <w:p w:rsidR="003918B4" w:rsidRPr="003918B4" w:rsidRDefault="003918B4" w:rsidP="003918B4">
            <w:pPr>
              <w:rPr>
                <w:rFonts w:ascii="Arial" w:hAnsi="Arial" w:cs="Arial"/>
                <w:color w:val="000000"/>
                <w:sz w:val="22"/>
                <w:szCs w:val="22"/>
              </w:rPr>
            </w:pPr>
          </w:p>
        </w:tc>
      </w:tr>
    </w:tbl>
    <w:p w:rsidR="003918B4" w:rsidRDefault="003918B4">
      <w:r>
        <w:br w:type="page"/>
      </w:r>
    </w:p>
    <w:tbl>
      <w:tblPr>
        <w:tblW w:w="5050" w:type="pct"/>
        <w:tblInd w:w="-108" w:type="dxa"/>
        <w:tblLook w:val="04A0" w:firstRow="1" w:lastRow="0" w:firstColumn="1" w:lastColumn="0" w:noHBand="0" w:noVBand="1"/>
      </w:tblPr>
      <w:tblGrid>
        <w:gridCol w:w="108"/>
        <w:gridCol w:w="115"/>
        <w:gridCol w:w="108"/>
        <w:gridCol w:w="1980"/>
        <w:gridCol w:w="108"/>
        <w:gridCol w:w="1430"/>
        <w:gridCol w:w="1282"/>
        <w:gridCol w:w="108"/>
        <w:gridCol w:w="1549"/>
        <w:gridCol w:w="108"/>
        <w:gridCol w:w="1729"/>
        <w:gridCol w:w="108"/>
        <w:gridCol w:w="1239"/>
        <w:gridCol w:w="108"/>
        <w:gridCol w:w="720"/>
        <w:gridCol w:w="108"/>
      </w:tblGrid>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1430" w:type="dxa"/>
            <w:tcBorders>
              <w:top w:val="nil"/>
              <w:left w:val="nil"/>
              <w:bottom w:val="nil"/>
              <w:right w:val="nil"/>
            </w:tcBorders>
            <w:shd w:val="clear" w:color="auto" w:fill="auto"/>
            <w:hideMark/>
          </w:tcPr>
          <w:p w:rsidR="003918B4" w:rsidRPr="003918B4" w:rsidRDefault="003918B4" w:rsidP="003918B4">
            <w:pPr>
              <w:rPr>
                <w:sz w:val="20"/>
                <w:szCs w:val="20"/>
              </w:rPr>
            </w:pPr>
          </w:p>
        </w:tc>
        <w:tc>
          <w:tcPr>
            <w:tcW w:w="1390"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1657"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1837"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1347"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c>
          <w:tcPr>
            <w:tcW w:w="828" w:type="dxa"/>
            <w:gridSpan w:val="2"/>
            <w:tcBorders>
              <w:top w:val="nil"/>
              <w:left w:val="nil"/>
              <w:bottom w:val="nil"/>
              <w:right w:val="nil"/>
            </w:tcBorders>
            <w:shd w:val="clear" w:color="auto" w:fill="auto"/>
            <w:hideMark/>
          </w:tcPr>
          <w:p w:rsidR="003918B4" w:rsidRPr="003918B4" w:rsidRDefault="003918B4" w:rsidP="003918B4">
            <w:pPr>
              <w:rPr>
                <w:sz w:val="20"/>
                <w:szCs w:val="20"/>
              </w:rPr>
            </w:pPr>
          </w:p>
        </w:tc>
      </w:tr>
      <w:tr w:rsidR="003918B4" w:rsidRPr="003918B4" w:rsidTr="003918B4">
        <w:trPr>
          <w:gridBefore w:val="1"/>
          <w:wBefore w:w="108" w:type="dxa"/>
          <w:cantSplit/>
        </w:trPr>
        <w:tc>
          <w:tcPr>
            <w:tcW w:w="10800" w:type="dxa"/>
            <w:gridSpan w:val="15"/>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b/>
                <w:bCs/>
                <w:color w:val="000000"/>
              </w:rPr>
              <w:t xml:space="preserve">Accounts Payable - </w:t>
            </w:r>
            <w:r w:rsidRPr="003918B4">
              <w:rPr>
                <w:rFonts w:ascii="Calibri" w:hAnsi="Calibri" w:cs="Arial"/>
                <w:color w:val="000000"/>
              </w:rPr>
              <w:t xml:space="preserve">At June 30, 2016, accounts payable lability is $41,413 and all AP liability is being paid timely within 28 days except CSP Clinical Services which gets paid once NYS pays CCCHC. The following is a list of vendors who's liability exceed $1,000. </w:t>
            </w: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rFonts w:ascii="Wingdings" w:hAnsi="Wingdings" w:cs="Arial"/>
                <w:color w:val="00000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Albany Times Union</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 xml:space="preserve"> $            8,500 </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Advertising-Tobacco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Operation Unite of NY</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2,702</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Subcontractor-Bengali Program</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Columbia County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1,758</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Vehicle Fuel, Lease Paymt &amp; Repairs</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iHeart Media - Radio</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1,939</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Advertising-Tobacco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Matts Signs</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1,654</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No Smoking Signs-Tobacco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Pandora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1,546</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Radio Streaming-Tobacco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Johnson Newspaper Corp</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1,400</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Advertising-Tobacco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Daily Freeman</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1,350</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Advertising-Tobacco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CC Dept. of Human Services</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1,128</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Subcontractor-Children Mental</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WRIP Radio 97.9FM</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1,058</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Advertising-Tobacco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Journeyworks Publishing</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948</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No Smoking Brochures-Tobacco</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noWrap/>
            <w:vAlign w:val="bottom"/>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Various Medical Providers</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9,205</w:t>
            </w:r>
          </w:p>
        </w:tc>
        <w:tc>
          <w:tcPr>
            <w:tcW w:w="3184" w:type="dxa"/>
            <w:gridSpan w:val="4"/>
            <w:tcBorders>
              <w:top w:val="nil"/>
              <w:left w:val="nil"/>
              <w:bottom w:val="nil"/>
              <w:right w:val="nil"/>
            </w:tcBorders>
            <w:shd w:val="clear" w:color="auto" w:fill="auto"/>
            <w:noWrap/>
            <w:vAlign w:val="bottom"/>
            <w:hideMark/>
          </w:tcPr>
          <w:p w:rsidR="003918B4" w:rsidRPr="003918B4" w:rsidRDefault="003918B4" w:rsidP="003918B4">
            <w:pPr>
              <w:jc w:val="center"/>
              <w:rPr>
                <w:rFonts w:ascii="Arial" w:hAnsi="Arial" w:cs="Arial"/>
                <w:color w:val="000000"/>
                <w:sz w:val="22"/>
                <w:szCs w:val="22"/>
              </w:rPr>
            </w:pPr>
            <w:r w:rsidRPr="003918B4">
              <w:rPr>
                <w:rFonts w:ascii="Arial" w:hAnsi="Arial" w:cs="Arial"/>
                <w:color w:val="000000"/>
                <w:sz w:val="22"/>
                <w:szCs w:val="22"/>
              </w:rPr>
              <w:t>CSP Clinical Serices-April-June'16</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rFonts w:ascii="Arial" w:hAnsi="Arial" w:cs="Arial"/>
                <w:color w:val="000000"/>
                <w:sz w:val="22"/>
                <w:szCs w:val="22"/>
              </w:rPr>
            </w:pPr>
          </w:p>
        </w:tc>
      </w:tr>
      <w:tr w:rsidR="003918B4" w:rsidRPr="003918B4" w:rsidTr="003918B4">
        <w:trPr>
          <w:gridAfter w:val="1"/>
          <w:wAfter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088"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2820"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Total AP from Above </w:t>
            </w:r>
          </w:p>
        </w:tc>
        <w:tc>
          <w:tcPr>
            <w:tcW w:w="165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rPr>
                <w:color w:val="000000"/>
              </w:rPr>
            </w:pPr>
            <w:r w:rsidRPr="003918B4">
              <w:rPr>
                <w:color w:val="000000"/>
              </w:rPr>
              <w:t xml:space="preserve"> $          33,187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rPr>
                <w:color w:val="00000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rPr>
                <w:sz w:val="20"/>
                <w:szCs w:val="20"/>
              </w:rPr>
            </w:pPr>
          </w:p>
        </w:tc>
      </w:tr>
      <w:tr w:rsidR="003918B4" w:rsidRPr="003918B4" w:rsidTr="003918B4">
        <w:trPr>
          <w:gridBefore w:val="1"/>
          <w:wBefore w:w="108" w:type="dxa"/>
          <w:cantSplit/>
        </w:trPr>
        <w:tc>
          <w:tcPr>
            <w:tcW w:w="10800" w:type="dxa"/>
            <w:gridSpan w:val="15"/>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b/>
                <w:bCs/>
                <w:color w:val="000000"/>
              </w:rPr>
              <w:t xml:space="preserve">Line of Credit  - </w:t>
            </w:r>
            <w:r w:rsidRPr="003918B4">
              <w:rPr>
                <w:rFonts w:ascii="Calibri" w:hAnsi="Calibri" w:cs="Arial"/>
                <w:color w:val="000000"/>
              </w:rPr>
              <w:t>During the month of July, we requested The Bank of Greene County to renew our $100,000 line of credit and provided the bank with appropriate documentation</w:t>
            </w:r>
          </w:p>
        </w:tc>
      </w:tr>
      <w:tr w:rsidR="003918B4" w:rsidRPr="003918B4" w:rsidTr="003918B4">
        <w:trPr>
          <w:gridBefore w:val="1"/>
          <w:wBefore w:w="108" w:type="dxa"/>
          <w:cantSplit/>
        </w:trPr>
        <w:tc>
          <w:tcPr>
            <w:tcW w:w="10800" w:type="dxa"/>
            <w:gridSpan w:val="15"/>
            <w:tcBorders>
              <w:top w:val="nil"/>
              <w:left w:val="nil"/>
              <w:bottom w:val="nil"/>
              <w:right w:val="nil"/>
            </w:tcBorders>
            <w:shd w:val="clear" w:color="auto" w:fill="auto"/>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b/>
                <w:bCs/>
                <w:color w:val="000000"/>
              </w:rPr>
              <w:t xml:space="preserve">Accrued Expenses - </w:t>
            </w:r>
            <w:r w:rsidRPr="003918B4">
              <w:rPr>
                <w:rFonts w:ascii="Calibri" w:hAnsi="Calibri" w:cs="Arial"/>
                <w:color w:val="000000"/>
              </w:rPr>
              <w:t>As of June 30, 2016, we have $2,000 in accrued expenses which consist of $2,000 for Claire's pension contribution per agreement.</w:t>
            </w:r>
          </w:p>
        </w:tc>
      </w:tr>
      <w:tr w:rsidR="003918B4" w:rsidRPr="003918B4" w:rsidTr="003918B4">
        <w:trPr>
          <w:gridBefore w:val="1"/>
          <w:wBefore w:w="108" w:type="dxa"/>
          <w:cantSplit/>
        </w:trPr>
        <w:tc>
          <w:tcPr>
            <w:tcW w:w="10800" w:type="dxa"/>
            <w:gridSpan w:val="15"/>
            <w:tcBorders>
              <w:top w:val="nil"/>
              <w:left w:val="nil"/>
              <w:bottom w:val="nil"/>
              <w:right w:val="nil"/>
            </w:tcBorders>
            <w:shd w:val="clear" w:color="auto" w:fill="auto"/>
            <w:vAlign w:val="bottom"/>
            <w:hideMark/>
          </w:tcPr>
          <w:p w:rsidR="003918B4" w:rsidRPr="003918B4" w:rsidRDefault="003918B4" w:rsidP="003918B4">
            <w:pPr>
              <w:rPr>
                <w:rFonts w:ascii="Wingdings" w:hAnsi="Wingdings" w:cs="Arial"/>
                <w:color w:val="000000"/>
              </w:rPr>
            </w:pPr>
            <w:r w:rsidRPr="003918B4">
              <w:rPr>
                <w:rFonts w:ascii="Wingdings" w:hAnsi="Wingdings" w:cs="Arial"/>
                <w:color w:val="000000"/>
              </w:rPr>
              <w:t></w:t>
            </w:r>
            <w:r w:rsidRPr="003918B4">
              <w:rPr>
                <w:color w:val="000000"/>
              </w:rPr>
              <w:t xml:space="preserve"> </w:t>
            </w:r>
            <w:r w:rsidRPr="003918B4">
              <w:rPr>
                <w:rFonts w:ascii="Calibri" w:hAnsi="Calibri" w:cs="Arial"/>
                <w:b/>
                <w:bCs/>
                <w:color w:val="000000"/>
              </w:rPr>
              <w:t>Advance Funding Payable</w:t>
            </w:r>
            <w:r w:rsidRPr="003918B4">
              <w:rPr>
                <w:rFonts w:ascii="Calibri" w:hAnsi="Calibri" w:cs="Arial"/>
                <w:color w:val="000000"/>
              </w:rPr>
              <w:t xml:space="preserve"> - Activity for the four months ending June 30, 2016,</w:t>
            </w: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rFonts w:ascii="Wingdings" w:hAnsi="Wingdings" w:cs="Arial"/>
                <w:color w:val="00000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Fund Name</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 xml:space="preserve">Beginning Balance at January 1st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 Contributions</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&lt;Distributions&gt;</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 xml:space="preserve">Ending Balance at June 30, 2016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b/>
                <w:bCs/>
                <w:color w:val="000000"/>
              </w:rPr>
            </w:pPr>
            <w:r w:rsidRPr="003918B4">
              <w:rPr>
                <w:b/>
                <w:bCs/>
                <w:color w:val="000000"/>
              </w:rPr>
              <w:t>Foundation for Community Health</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Prescription Rx Access</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10,445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7,125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(3,216)</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14,354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Transportation: Acram/Copake</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25,000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(12,653)</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12,347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Children's Mental Health Project</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20,238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(1,731)</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18,507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b/>
                <w:bCs/>
                <w:color w:val="000000"/>
              </w:rPr>
            </w:pPr>
            <w:r w:rsidRPr="003918B4">
              <w:rPr>
                <w:b/>
                <w:bCs/>
                <w:color w:val="000000"/>
              </w:rPr>
              <w:t>Dyson Foundation</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rPr>
                <w:b/>
                <w:bCs/>
                <w:color w:val="000000"/>
              </w:rPr>
            </w:pP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Prescription Rx Access</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25,000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(12,453)</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12,547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b/>
                <w:bCs/>
                <w:color w:val="000000"/>
              </w:rPr>
            </w:pPr>
            <w:r w:rsidRPr="003918B4">
              <w:rPr>
                <w:b/>
                <w:bCs/>
                <w:color w:val="000000"/>
              </w:rPr>
              <w:t>NYS Grant Advances</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rPr>
                <w:b/>
                <w:bCs/>
                <w:color w:val="000000"/>
              </w:rPr>
            </w:pP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Cancer Services Program</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5,060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35,000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(14,705)</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25,355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ind w:firstLineChars="200" w:firstLine="480"/>
              <w:rPr>
                <w:color w:val="000000"/>
              </w:rPr>
            </w:pPr>
            <w:r w:rsidRPr="003918B4">
              <w:rPr>
                <w:color w:val="000000"/>
              </w:rPr>
              <w:t>Tobacco Free Program</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40,565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(40,565)</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Health &amp; Recovery Plan (HCBS - HARP)</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49,850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49,850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jc w:val="right"/>
              <w:rPr>
                <w:b/>
                <w:bCs/>
                <w:color w:val="000000"/>
              </w:rPr>
            </w:pPr>
            <w:r w:rsidRPr="003918B4">
              <w:rPr>
                <w:b/>
                <w:bCs/>
                <w:color w:val="000000"/>
              </w:rPr>
              <w:t>Total Advance Funding Payable</w:t>
            </w:r>
          </w:p>
        </w:tc>
        <w:tc>
          <w:tcPr>
            <w:tcW w:w="1390"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76,308 </w:t>
            </w:r>
          </w:p>
        </w:tc>
        <w:tc>
          <w:tcPr>
            <w:tcW w:w="165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141,975 </w:t>
            </w:r>
          </w:p>
        </w:tc>
        <w:tc>
          <w:tcPr>
            <w:tcW w:w="183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(85,324)</w:t>
            </w:r>
          </w:p>
        </w:tc>
        <w:tc>
          <w:tcPr>
            <w:tcW w:w="134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132,959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2088"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430" w:type="dxa"/>
            <w:tcBorders>
              <w:top w:val="nil"/>
              <w:left w:val="nil"/>
              <w:bottom w:val="nil"/>
              <w:right w:val="nil"/>
            </w:tcBorders>
            <w:shd w:val="clear" w:color="auto" w:fill="auto"/>
            <w:vAlign w:val="center"/>
            <w:hideMark/>
          </w:tcPr>
          <w:p w:rsidR="003918B4" w:rsidRPr="003918B4" w:rsidRDefault="003918B4" w:rsidP="003918B4">
            <w:pPr>
              <w:jc w:val="right"/>
              <w:rPr>
                <w:sz w:val="20"/>
                <w:szCs w:val="20"/>
              </w:rPr>
            </w:pP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right"/>
              <w:rPr>
                <w:sz w:val="20"/>
                <w:szCs w:val="20"/>
              </w:rPr>
            </w:pP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r>
      <w:tr w:rsidR="003918B4" w:rsidRPr="003918B4" w:rsidTr="003918B4">
        <w:trPr>
          <w:gridBefore w:val="1"/>
          <w:wBefore w:w="108" w:type="dxa"/>
          <w:cantSplit/>
        </w:trPr>
        <w:tc>
          <w:tcPr>
            <w:tcW w:w="10800" w:type="dxa"/>
            <w:gridSpan w:val="15"/>
            <w:tcBorders>
              <w:top w:val="nil"/>
              <w:left w:val="nil"/>
              <w:bottom w:val="nil"/>
              <w:right w:val="nil"/>
            </w:tcBorders>
            <w:shd w:val="clear" w:color="auto" w:fill="auto"/>
            <w:vAlign w:val="bottom"/>
            <w:hideMark/>
          </w:tcPr>
          <w:p w:rsidR="003918B4" w:rsidRPr="003918B4" w:rsidRDefault="003918B4" w:rsidP="003918B4">
            <w:pPr>
              <w:rPr>
                <w:rFonts w:ascii="Wingdings" w:hAnsi="Wingdings" w:cs="Arial"/>
                <w:color w:val="000000"/>
              </w:rPr>
            </w:pPr>
            <w:r w:rsidRPr="003918B4">
              <w:rPr>
                <w:rFonts w:ascii="Wingdings" w:hAnsi="Wingdings" w:cs="Arial"/>
                <w:color w:val="000000"/>
              </w:rPr>
              <w:lastRenderedPageBreak/>
              <w:t></w:t>
            </w:r>
            <w:r w:rsidRPr="003918B4">
              <w:rPr>
                <w:color w:val="000000"/>
              </w:rPr>
              <w:t xml:space="preserve"> </w:t>
            </w:r>
            <w:r w:rsidRPr="003918B4">
              <w:rPr>
                <w:rFonts w:ascii="Calibri" w:hAnsi="Calibri" w:cs="Arial"/>
                <w:b/>
                <w:bCs/>
                <w:color w:val="000000"/>
              </w:rPr>
              <w:t>Temporary Restricted Funds</w:t>
            </w:r>
            <w:r w:rsidRPr="003918B4">
              <w:rPr>
                <w:rFonts w:ascii="Calibri" w:hAnsi="Calibri" w:cs="Arial"/>
                <w:color w:val="000000"/>
              </w:rPr>
              <w:t xml:space="preserve"> - Activity for the four months ending June 30, 2016,</w:t>
            </w: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rPr>
                <w:rFonts w:ascii="Wingdings" w:hAnsi="Wingdings" w:cs="Arial"/>
                <w:color w:val="00000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Fund Name</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 xml:space="preserve">Beginning Balance at January 1st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 Contributions</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&lt;Distributions&gt;</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r w:rsidRPr="003918B4">
              <w:rPr>
                <w:b/>
                <w:bCs/>
                <w:color w:val="000000"/>
              </w:rPr>
              <w:t>Ending Balance at June 30, 2016</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b/>
                <w:bCs/>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Columbia County</w:t>
            </w:r>
            <w:r w:rsidRPr="003918B4">
              <w:rPr>
                <w:color w:val="000000"/>
                <w:sz w:val="22"/>
                <w:szCs w:val="22"/>
              </w:rPr>
              <w:t xml:space="preserve"> -</w:t>
            </w:r>
            <w:r w:rsidRPr="003918B4">
              <w:rPr>
                <w:color w:val="000000"/>
                <w:sz w:val="18"/>
                <w:szCs w:val="18"/>
              </w:rPr>
              <w:t>CARTS &amp; Receptionist</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49,000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(24,500)</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24,500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Columbia County Depts.-CARTS</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19,000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(9,500)</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9,500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Columbia County Cancer Fund</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11,831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520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(5,094)</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7,257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Greene County Cancer Fund</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8,690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50 </w:t>
            </w: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(1,775)</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6,965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Complementary Therapies</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6,955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(900)</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6,055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Jan Koweek Fund</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901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901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rPr>
                <w:color w:val="000000"/>
              </w:rPr>
            </w:pPr>
            <w:r w:rsidRPr="003918B4">
              <w:rPr>
                <w:color w:val="000000"/>
              </w:rPr>
              <w:t>Galvan Foundation-Bengali Project</w:t>
            </w:r>
          </w:p>
        </w:tc>
        <w:tc>
          <w:tcPr>
            <w:tcW w:w="1390"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10,470 </w:t>
            </w:r>
          </w:p>
        </w:tc>
        <w:tc>
          <w:tcPr>
            <w:tcW w:w="165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c>
          <w:tcPr>
            <w:tcW w:w="183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(4,509)</w:t>
            </w:r>
          </w:p>
        </w:tc>
        <w:tc>
          <w:tcPr>
            <w:tcW w:w="1347"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5,961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r w:rsidR="003918B4" w:rsidRPr="003918B4" w:rsidTr="003918B4">
        <w:trPr>
          <w:gridBefore w:val="1"/>
          <w:wBefore w:w="108" w:type="dxa"/>
          <w:cantSplit/>
        </w:trPr>
        <w:tc>
          <w:tcPr>
            <w:tcW w:w="223" w:type="dxa"/>
            <w:gridSpan w:val="2"/>
            <w:tcBorders>
              <w:top w:val="nil"/>
              <w:left w:val="nil"/>
              <w:bottom w:val="nil"/>
              <w:right w:val="nil"/>
            </w:tcBorders>
            <w:shd w:val="clear" w:color="auto" w:fill="auto"/>
            <w:vAlign w:val="center"/>
            <w:hideMark/>
          </w:tcPr>
          <w:p w:rsidR="003918B4" w:rsidRPr="003918B4" w:rsidRDefault="003918B4" w:rsidP="003918B4">
            <w:pPr>
              <w:jc w:val="center"/>
              <w:rPr>
                <w:sz w:val="20"/>
                <w:szCs w:val="20"/>
              </w:rPr>
            </w:pPr>
          </w:p>
        </w:tc>
        <w:tc>
          <w:tcPr>
            <w:tcW w:w="3518" w:type="dxa"/>
            <w:gridSpan w:val="3"/>
            <w:tcBorders>
              <w:top w:val="nil"/>
              <w:left w:val="nil"/>
              <w:bottom w:val="nil"/>
              <w:right w:val="nil"/>
            </w:tcBorders>
            <w:shd w:val="clear" w:color="auto" w:fill="auto"/>
            <w:vAlign w:val="center"/>
            <w:hideMark/>
          </w:tcPr>
          <w:p w:rsidR="003918B4" w:rsidRPr="003918B4" w:rsidRDefault="003918B4" w:rsidP="003918B4">
            <w:pPr>
              <w:jc w:val="right"/>
              <w:rPr>
                <w:color w:val="000000"/>
              </w:rPr>
            </w:pPr>
            <w:r w:rsidRPr="003918B4">
              <w:rPr>
                <w:color w:val="000000"/>
              </w:rPr>
              <w:t>Totals of Temporary Restricted Funds</w:t>
            </w:r>
          </w:p>
        </w:tc>
        <w:tc>
          <w:tcPr>
            <w:tcW w:w="1390"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38,847 </w:t>
            </w:r>
          </w:p>
        </w:tc>
        <w:tc>
          <w:tcPr>
            <w:tcW w:w="165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68,570 </w:t>
            </w:r>
          </w:p>
        </w:tc>
        <w:tc>
          <w:tcPr>
            <w:tcW w:w="183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(46,278)</w:t>
            </w:r>
          </w:p>
        </w:tc>
        <w:tc>
          <w:tcPr>
            <w:tcW w:w="1347" w:type="dxa"/>
            <w:gridSpan w:val="2"/>
            <w:tcBorders>
              <w:top w:val="single" w:sz="4" w:space="0" w:color="auto"/>
              <w:left w:val="nil"/>
              <w:bottom w:val="double" w:sz="6" w:space="0" w:color="auto"/>
              <w:right w:val="nil"/>
            </w:tcBorders>
            <w:shd w:val="clear" w:color="auto" w:fill="auto"/>
            <w:vAlign w:val="center"/>
            <w:hideMark/>
          </w:tcPr>
          <w:p w:rsidR="003918B4" w:rsidRPr="003918B4" w:rsidRDefault="003918B4" w:rsidP="003918B4">
            <w:pPr>
              <w:jc w:val="center"/>
              <w:rPr>
                <w:color w:val="000000"/>
              </w:rPr>
            </w:pPr>
            <w:r w:rsidRPr="003918B4">
              <w:rPr>
                <w:color w:val="000000"/>
              </w:rPr>
              <w:t xml:space="preserve"> $                61,138 </w:t>
            </w:r>
          </w:p>
        </w:tc>
        <w:tc>
          <w:tcPr>
            <w:tcW w:w="828" w:type="dxa"/>
            <w:gridSpan w:val="2"/>
            <w:tcBorders>
              <w:top w:val="nil"/>
              <w:left w:val="nil"/>
              <w:bottom w:val="nil"/>
              <w:right w:val="nil"/>
            </w:tcBorders>
            <w:shd w:val="clear" w:color="auto" w:fill="auto"/>
            <w:vAlign w:val="center"/>
            <w:hideMark/>
          </w:tcPr>
          <w:p w:rsidR="003918B4" w:rsidRPr="003918B4" w:rsidRDefault="003918B4" w:rsidP="003918B4">
            <w:pPr>
              <w:jc w:val="center"/>
              <w:rPr>
                <w:color w:val="000000"/>
              </w:rPr>
            </w:pPr>
          </w:p>
        </w:tc>
      </w:tr>
    </w:tbl>
    <w:p w:rsidR="005E7D1E" w:rsidRDefault="005E7D1E"/>
    <w:sectPr w:rsidR="005E7D1E" w:rsidSect="005E7D1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1E" w:rsidRDefault="009C541E" w:rsidP="00A96EC7">
      <w:r>
        <w:separator/>
      </w:r>
    </w:p>
  </w:endnote>
  <w:endnote w:type="continuationSeparator" w:id="0">
    <w:p w:rsidR="009C541E" w:rsidRDefault="009C541E"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1E" w:rsidRDefault="009C541E" w:rsidP="00A96EC7">
      <w:r>
        <w:separator/>
      </w:r>
    </w:p>
  </w:footnote>
  <w:footnote w:type="continuationSeparator" w:id="0">
    <w:p w:rsidR="009C541E" w:rsidRDefault="009C541E"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8"/>
  </w:num>
  <w:num w:numId="6">
    <w:abstractNumId w:val="9"/>
  </w:num>
  <w:num w:numId="7">
    <w:abstractNumId w:val="7"/>
  </w:num>
  <w:num w:numId="8">
    <w:abstractNumId w:val="6"/>
  </w:num>
  <w:num w:numId="9">
    <w:abstractNumId w:val="15"/>
  </w:num>
  <w:num w:numId="10">
    <w:abstractNumId w:val="11"/>
  </w:num>
  <w:num w:numId="11">
    <w:abstractNumId w:val="10"/>
  </w:num>
  <w:num w:numId="12">
    <w:abstractNumId w:val="14"/>
  </w:num>
  <w:num w:numId="13">
    <w:abstractNumId w:val="13"/>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2538"/>
    <w:rsid w:val="00064B5F"/>
    <w:rsid w:val="00071F28"/>
    <w:rsid w:val="000A2D35"/>
    <w:rsid w:val="000B6DD7"/>
    <w:rsid w:val="000F0E3D"/>
    <w:rsid w:val="001274CB"/>
    <w:rsid w:val="00132B0A"/>
    <w:rsid w:val="001515B8"/>
    <w:rsid w:val="001911CB"/>
    <w:rsid w:val="001E0050"/>
    <w:rsid w:val="001F64E2"/>
    <w:rsid w:val="00207444"/>
    <w:rsid w:val="00212943"/>
    <w:rsid w:val="002413F8"/>
    <w:rsid w:val="00247C27"/>
    <w:rsid w:val="00252DCF"/>
    <w:rsid w:val="002901B2"/>
    <w:rsid w:val="002A5029"/>
    <w:rsid w:val="002A5131"/>
    <w:rsid w:val="002C083B"/>
    <w:rsid w:val="002C0B80"/>
    <w:rsid w:val="002C4573"/>
    <w:rsid w:val="002E2F64"/>
    <w:rsid w:val="0030688B"/>
    <w:rsid w:val="00342789"/>
    <w:rsid w:val="00352709"/>
    <w:rsid w:val="003624D1"/>
    <w:rsid w:val="003918B4"/>
    <w:rsid w:val="003F79C4"/>
    <w:rsid w:val="00412DDD"/>
    <w:rsid w:val="00421F8B"/>
    <w:rsid w:val="00475C88"/>
    <w:rsid w:val="004760AF"/>
    <w:rsid w:val="004A10B9"/>
    <w:rsid w:val="004E0E27"/>
    <w:rsid w:val="004E41EF"/>
    <w:rsid w:val="004F7032"/>
    <w:rsid w:val="0050320B"/>
    <w:rsid w:val="00515E81"/>
    <w:rsid w:val="0055133D"/>
    <w:rsid w:val="00564F43"/>
    <w:rsid w:val="00575593"/>
    <w:rsid w:val="005A25ED"/>
    <w:rsid w:val="005B073F"/>
    <w:rsid w:val="005B4AC3"/>
    <w:rsid w:val="005C3C63"/>
    <w:rsid w:val="005C6D89"/>
    <w:rsid w:val="005D783D"/>
    <w:rsid w:val="005E7D1E"/>
    <w:rsid w:val="0062335B"/>
    <w:rsid w:val="006472C0"/>
    <w:rsid w:val="00690525"/>
    <w:rsid w:val="006C7D2A"/>
    <w:rsid w:val="006D2E29"/>
    <w:rsid w:val="006D5967"/>
    <w:rsid w:val="0070203E"/>
    <w:rsid w:val="00746F3D"/>
    <w:rsid w:val="00796B31"/>
    <w:rsid w:val="007D77E8"/>
    <w:rsid w:val="007E15C2"/>
    <w:rsid w:val="007E43C8"/>
    <w:rsid w:val="00843353"/>
    <w:rsid w:val="00855300"/>
    <w:rsid w:val="008630E4"/>
    <w:rsid w:val="0088470F"/>
    <w:rsid w:val="008A2296"/>
    <w:rsid w:val="008F4187"/>
    <w:rsid w:val="009115A7"/>
    <w:rsid w:val="0091350F"/>
    <w:rsid w:val="0091567E"/>
    <w:rsid w:val="00921C0E"/>
    <w:rsid w:val="00941F5A"/>
    <w:rsid w:val="00943D31"/>
    <w:rsid w:val="00971B37"/>
    <w:rsid w:val="00990FBF"/>
    <w:rsid w:val="009C541E"/>
    <w:rsid w:val="009D18D2"/>
    <w:rsid w:val="00A02AD5"/>
    <w:rsid w:val="00A03133"/>
    <w:rsid w:val="00A176E2"/>
    <w:rsid w:val="00A17DE4"/>
    <w:rsid w:val="00A42B94"/>
    <w:rsid w:val="00A7348F"/>
    <w:rsid w:val="00A806B4"/>
    <w:rsid w:val="00A82A4A"/>
    <w:rsid w:val="00A96EC7"/>
    <w:rsid w:val="00AA4696"/>
    <w:rsid w:val="00B241BE"/>
    <w:rsid w:val="00B44232"/>
    <w:rsid w:val="00B50F4B"/>
    <w:rsid w:val="00B568C6"/>
    <w:rsid w:val="00B57C39"/>
    <w:rsid w:val="00B60BAB"/>
    <w:rsid w:val="00BE2FC7"/>
    <w:rsid w:val="00BE50D6"/>
    <w:rsid w:val="00BE76E2"/>
    <w:rsid w:val="00C14518"/>
    <w:rsid w:val="00C31650"/>
    <w:rsid w:val="00C50DA8"/>
    <w:rsid w:val="00C827EF"/>
    <w:rsid w:val="00C95C54"/>
    <w:rsid w:val="00CA7BEE"/>
    <w:rsid w:val="00CC293F"/>
    <w:rsid w:val="00CE1DBC"/>
    <w:rsid w:val="00D12FA2"/>
    <w:rsid w:val="00D14318"/>
    <w:rsid w:val="00D46062"/>
    <w:rsid w:val="00D70608"/>
    <w:rsid w:val="00D81AA6"/>
    <w:rsid w:val="00DA2F4A"/>
    <w:rsid w:val="00DA6950"/>
    <w:rsid w:val="00DB62FF"/>
    <w:rsid w:val="00E81E94"/>
    <w:rsid w:val="00E91034"/>
    <w:rsid w:val="00EB0D94"/>
    <w:rsid w:val="00EB6FD4"/>
    <w:rsid w:val="00EC3403"/>
    <w:rsid w:val="00F007AD"/>
    <w:rsid w:val="00F01099"/>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6\CCCHC%20Financial%20Report%2006%2030%202016%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6\CCCHC%20Financial%20Report%2006%2030%202016%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'[1]Fiscal Highlights'!$V$62:$V$90</c:f>
              <c:numCache>
                <c:formatCode>General</c:formatCode>
                <c:ptCount val="29"/>
                <c:pt idx="4">
                  <c:v>42125</c:v>
                </c:pt>
                <c:pt idx="5">
                  <c:v>42156</c:v>
                </c:pt>
                <c:pt idx="6">
                  <c:v>42186</c:v>
                </c:pt>
                <c:pt idx="7">
                  <c:v>42217</c:v>
                </c:pt>
                <c:pt idx="8">
                  <c:v>42248</c:v>
                </c:pt>
                <c:pt idx="11">
                  <c:v>42278</c:v>
                </c:pt>
                <c:pt idx="12">
                  <c:v>42309</c:v>
                </c:pt>
                <c:pt idx="13">
                  <c:v>42339</c:v>
                </c:pt>
                <c:pt idx="14">
                  <c:v>42370</c:v>
                </c:pt>
                <c:pt idx="15">
                  <c:v>42401</c:v>
                </c:pt>
                <c:pt idx="16">
                  <c:v>42430</c:v>
                </c:pt>
                <c:pt idx="17">
                  <c:v>42461</c:v>
                </c:pt>
                <c:pt idx="18">
                  <c:v>42491</c:v>
                </c:pt>
                <c:pt idx="19">
                  <c:v>42522</c:v>
                </c:pt>
              </c:numCache>
            </c:numRef>
          </c:cat>
          <c:val>
            <c:numRef>
              <c:f>'[1]Fiscal Highlights'!$W$62:$W$90</c:f>
              <c:numCache>
                <c:formatCode>General</c:formatCode>
                <c:ptCount val="29"/>
                <c:pt idx="4">
                  <c:v>216247.59</c:v>
                </c:pt>
                <c:pt idx="5">
                  <c:v>246281</c:v>
                </c:pt>
                <c:pt idx="6">
                  <c:v>271416.40000000002</c:v>
                </c:pt>
                <c:pt idx="7">
                  <c:v>147240.4</c:v>
                </c:pt>
                <c:pt idx="8">
                  <c:v>156700</c:v>
                </c:pt>
                <c:pt idx="11">
                  <c:v>224005.57</c:v>
                </c:pt>
                <c:pt idx="12">
                  <c:v>212998.66</c:v>
                </c:pt>
                <c:pt idx="13">
                  <c:v>256955.64</c:v>
                </c:pt>
                <c:pt idx="14">
                  <c:v>368765.26</c:v>
                </c:pt>
                <c:pt idx="15">
                  <c:v>294586.56</c:v>
                </c:pt>
                <c:pt idx="16">
                  <c:v>253840.62</c:v>
                </c:pt>
                <c:pt idx="17">
                  <c:v>292279.03999999998</c:v>
                </c:pt>
                <c:pt idx="18">
                  <c:v>330363.87</c:v>
                </c:pt>
                <c:pt idx="19">
                  <c:v>372823.87</c:v>
                </c:pt>
              </c:numCache>
            </c:numRef>
          </c:val>
        </c:ser>
        <c:dLbls>
          <c:showLegendKey val="0"/>
          <c:showVal val="0"/>
          <c:showCatName val="0"/>
          <c:showSerName val="0"/>
          <c:showPercent val="0"/>
          <c:showBubbleSize val="0"/>
        </c:dLbls>
        <c:gapWidth val="219"/>
        <c:overlap val="-27"/>
        <c:axId val="303368968"/>
        <c:axId val="303368576"/>
      </c:barChart>
      <c:catAx>
        <c:axId val="3033689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68576"/>
        <c:crosses val="autoZero"/>
        <c:auto val="1"/>
        <c:lblAlgn val="ctr"/>
        <c:lblOffset val="100"/>
        <c:noMultiLvlLbl val="1"/>
      </c:catAx>
      <c:valAx>
        <c:axId val="30336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368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[1]Data!$B$3</c:f>
              <c:strCache>
                <c:ptCount val="1"/>
                <c:pt idx="0">
                  <c:v>Balance</c:v>
                </c:pt>
              </c:strCache>
            </c:strRef>
          </c:tx>
          <c:spPr>
            <a:ln w="28575" cap="rnd">
              <a:solidFill>
                <a:schemeClr val="accent1"/>
              </a:solidFill>
              <a:round/>
            </a:ln>
            <a:effectLst/>
          </c:spPr>
          <c:marker>
            <c:symbol val="none"/>
          </c:marker>
          <c:cat>
            <c:numRef>
              <c:f>[1]Data!$A$4:$A$133</c:f>
              <c:numCache>
                <c:formatCode>General</c:formatCode>
                <c:ptCount val="130"/>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c:v>42544</c:v>
                </c:pt>
                <c:pt idx="125">
                  <c:v>42545</c:v>
                </c:pt>
                <c:pt idx="126">
                  <c:v>42548</c:v>
                </c:pt>
                <c:pt idx="127">
                  <c:v>42549</c:v>
                </c:pt>
                <c:pt idx="128">
                  <c:v>42550</c:v>
                </c:pt>
                <c:pt idx="129">
                  <c:v>42551</c:v>
                </c:pt>
              </c:numCache>
            </c:numRef>
          </c:cat>
          <c:val>
            <c:numRef>
              <c:f>[1]Data!$B$4:$B$133</c:f>
              <c:numCache>
                <c:formatCode>General</c:formatCode>
                <c:ptCount val="130"/>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240780.4</c:v>
                </c:pt>
                <c:pt idx="126">
                  <c:v>205735.12</c:v>
                </c:pt>
                <c:pt idx="127">
                  <c:v>207489.37</c:v>
                </c:pt>
                <c:pt idx="128">
                  <c:v>213757.9</c:v>
                </c:pt>
                <c:pt idx="129">
                  <c:v>220332.56</c:v>
                </c:pt>
              </c:numCache>
            </c:numRef>
          </c:val>
          <c:smooth val="0"/>
        </c:ser>
        <c:dLbls>
          <c:showLegendKey val="0"/>
          <c:showVal val="0"/>
          <c:showCatName val="0"/>
          <c:showSerName val="0"/>
          <c:showPercent val="0"/>
          <c:showBubbleSize val="0"/>
        </c:dLbls>
        <c:smooth val="0"/>
        <c:axId val="355486208"/>
        <c:axId val="355486600"/>
      </c:lineChart>
      <c:catAx>
        <c:axId val="355486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86600"/>
        <c:crosses val="autoZero"/>
        <c:auto val="1"/>
        <c:lblAlgn val="ctr"/>
        <c:lblOffset val="100"/>
        <c:noMultiLvlLbl val="1"/>
      </c:catAx>
      <c:valAx>
        <c:axId val="355486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5486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5BE59-D592-446B-A4FC-2D0AB52E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3</cp:revision>
  <dcterms:created xsi:type="dcterms:W3CDTF">2016-07-21T17:42:00Z</dcterms:created>
  <dcterms:modified xsi:type="dcterms:W3CDTF">2016-07-22T15:48:00Z</dcterms:modified>
</cp:coreProperties>
</file>