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47C" w:rsidRDefault="0080747C" w:rsidP="0080747C">
      <w:pPr>
        <w:pStyle w:val="Header"/>
        <w:rPr>
          <w:b/>
        </w:rPr>
      </w:pPr>
      <w:r>
        <w:rPr>
          <w:b/>
        </w:rPr>
        <w:t>Columbia County Community Healthcare Consortium, Inc.</w:t>
      </w:r>
    </w:p>
    <w:p w:rsidR="0080747C" w:rsidRDefault="0080747C" w:rsidP="0080747C">
      <w:pPr>
        <w:pStyle w:val="Header"/>
        <w:rPr>
          <w:b/>
        </w:rPr>
      </w:pPr>
      <w:r>
        <w:rPr>
          <w:b/>
        </w:rPr>
        <w:t>Executive Committee</w:t>
      </w:r>
    </w:p>
    <w:p w:rsidR="0080747C" w:rsidRDefault="0080747C" w:rsidP="0080747C">
      <w:pPr>
        <w:pStyle w:val="Header"/>
        <w:rPr>
          <w:b/>
        </w:rPr>
      </w:pPr>
      <w:r>
        <w:rPr>
          <w:b/>
        </w:rPr>
        <w:t>Notes from the meeting of June 22, 2016</w:t>
      </w:r>
    </w:p>
    <w:p w:rsidR="0080747C" w:rsidRDefault="0080747C" w:rsidP="0080747C">
      <w:pPr>
        <w:pStyle w:val="Header"/>
        <w:rPr>
          <w:b/>
        </w:rPr>
      </w:pPr>
    </w:p>
    <w:p w:rsidR="0080747C" w:rsidRDefault="0080747C" w:rsidP="0080747C">
      <w:r>
        <w:rPr>
          <w:b/>
        </w:rPr>
        <w:t xml:space="preserve">Attending Members: </w:t>
      </w:r>
      <w:r>
        <w:t>Beth Schuster, Robin Andrews, Tam Mustapha, Art Proper, Leitha Pierro</w:t>
      </w:r>
    </w:p>
    <w:p w:rsidR="0080747C" w:rsidRDefault="0080747C" w:rsidP="0080747C"/>
    <w:p w:rsidR="0080747C" w:rsidRDefault="0080747C" w:rsidP="0080747C">
      <w:r>
        <w:rPr>
          <w:b/>
        </w:rPr>
        <w:t>Absent Members:</w:t>
      </w:r>
      <w:r>
        <w:t xml:space="preserve"> Linda Tripp, Theresa Lux</w:t>
      </w:r>
    </w:p>
    <w:p w:rsidR="0080747C" w:rsidRDefault="0080747C" w:rsidP="0080747C"/>
    <w:p w:rsidR="0080747C" w:rsidRDefault="0080747C" w:rsidP="0080747C">
      <w:pPr>
        <w:rPr>
          <w:b/>
        </w:rPr>
      </w:pPr>
      <w:r>
        <w:rPr>
          <w:b/>
        </w:rPr>
        <w:t xml:space="preserve">Staff Members: </w:t>
      </w:r>
      <w:r>
        <w:t>Claire Parde, John Ray, and Aleshia Boyle</w:t>
      </w:r>
      <w:r w:rsidRPr="00551075">
        <w:rPr>
          <w:b/>
        </w:rPr>
        <w:t xml:space="preserve"> </w:t>
      </w:r>
    </w:p>
    <w:p w:rsidR="0080747C" w:rsidRDefault="0080747C" w:rsidP="0080747C"/>
    <w:p w:rsidR="0080747C" w:rsidRDefault="0080747C" w:rsidP="0080747C">
      <w:pPr>
        <w:rPr>
          <w:b/>
        </w:rPr>
      </w:pPr>
      <w:r>
        <w:rPr>
          <w:b/>
        </w:rPr>
        <w:t>CALL TO ORDER</w:t>
      </w:r>
    </w:p>
    <w:p w:rsidR="0080747C" w:rsidRDefault="0080747C" w:rsidP="0080747C">
      <w:r>
        <w:t>Meeting was called to order at 9:00 a.m. by President Beth Schuster.</w:t>
      </w:r>
    </w:p>
    <w:p w:rsidR="0080747C" w:rsidRDefault="0080747C" w:rsidP="0080747C">
      <w:pPr>
        <w:spacing w:line="276" w:lineRule="auto"/>
      </w:pPr>
    </w:p>
    <w:p w:rsidR="0080747C" w:rsidRPr="00E876D7" w:rsidRDefault="0080747C" w:rsidP="0080747C">
      <w:pPr>
        <w:spacing w:line="276" w:lineRule="auto"/>
        <w:rPr>
          <w:u w:val="single"/>
        </w:rPr>
      </w:pPr>
      <w:r w:rsidRPr="00E876D7">
        <w:rPr>
          <w:u w:val="single"/>
        </w:rPr>
        <w:t>Fiscal Highlights</w:t>
      </w:r>
    </w:p>
    <w:p w:rsidR="0080747C" w:rsidRDefault="0080747C" w:rsidP="0080747C">
      <w:r>
        <w:t>John Ray presented the Fiscal Highlights report (see attached).</w:t>
      </w:r>
    </w:p>
    <w:p w:rsidR="0080747C" w:rsidRDefault="0080747C" w:rsidP="0080747C"/>
    <w:p w:rsidR="0080747C" w:rsidRDefault="0080747C" w:rsidP="0080747C">
      <w:pPr>
        <w:spacing w:line="276" w:lineRule="auto"/>
      </w:pPr>
      <w:r>
        <w:rPr>
          <w:i/>
        </w:rPr>
        <w:t>Following the delivery of the Fiscal Highlights report, John Ray exited the meeting.</w:t>
      </w:r>
    </w:p>
    <w:p w:rsidR="0080747C" w:rsidRDefault="0080747C" w:rsidP="0080747C">
      <w:pPr>
        <w:spacing w:line="276" w:lineRule="auto"/>
        <w:rPr>
          <w:b/>
        </w:rPr>
      </w:pPr>
    </w:p>
    <w:p w:rsidR="0080747C" w:rsidRDefault="0080747C" w:rsidP="0080747C">
      <w:pPr>
        <w:spacing w:line="276" w:lineRule="auto"/>
        <w:rPr>
          <w:u w:val="single"/>
        </w:rPr>
      </w:pPr>
      <w:r w:rsidRPr="009802BA">
        <w:rPr>
          <w:u w:val="single"/>
        </w:rPr>
        <w:t>Executive Director’s Report</w:t>
      </w:r>
    </w:p>
    <w:p w:rsidR="0080747C" w:rsidRDefault="0080747C" w:rsidP="0080747C">
      <w:pPr>
        <w:spacing w:line="276" w:lineRule="auto"/>
      </w:pPr>
      <w:r>
        <w:t>At this time, Claire presented her Executive Director’s Report (see attached).</w:t>
      </w:r>
      <w:r w:rsidRPr="00E876D7">
        <w:t xml:space="preserve"> </w:t>
      </w:r>
    </w:p>
    <w:p w:rsidR="001C5A3A" w:rsidRDefault="001C5A3A" w:rsidP="0080747C">
      <w:pPr>
        <w:spacing w:line="276" w:lineRule="auto"/>
      </w:pPr>
    </w:p>
    <w:p w:rsidR="001C5A3A" w:rsidRDefault="009A1C9D" w:rsidP="0080747C">
      <w:pPr>
        <w:spacing w:line="276" w:lineRule="auto"/>
      </w:pPr>
      <w:r>
        <w:t>Claire reported that the agency’s Fiscal Clerk has been out since</w:t>
      </w:r>
      <w:r w:rsidR="0030706B">
        <w:t xml:space="preserve"> early May to help her ailing husband. </w:t>
      </w:r>
      <w:r w:rsidR="001C5A3A">
        <w:t xml:space="preserve">The employee will have exhausted all of her paid time off next week, and </w:t>
      </w:r>
      <w:r w:rsidR="0030706B">
        <w:t xml:space="preserve">Claire has granted </w:t>
      </w:r>
      <w:r w:rsidR="001C5A3A">
        <w:t>her</w:t>
      </w:r>
      <w:r w:rsidR="0030706B">
        <w:t xml:space="preserve"> a 90 day unpaid leave of absence</w:t>
      </w:r>
      <w:r w:rsidR="001C5A3A">
        <w:t xml:space="preserve">. In the meantime, Claire will explore </w:t>
      </w:r>
      <w:r w:rsidR="00072528">
        <w:t>how best to manage her absence, which may include temporary staffing.</w:t>
      </w:r>
    </w:p>
    <w:p w:rsidR="001C5A3A" w:rsidRDefault="001C5A3A" w:rsidP="0080747C">
      <w:pPr>
        <w:spacing w:line="276" w:lineRule="auto"/>
      </w:pPr>
    </w:p>
    <w:p w:rsidR="001C5A3A" w:rsidRDefault="001C5A3A" w:rsidP="0080747C">
      <w:pPr>
        <w:spacing w:line="276" w:lineRule="auto"/>
      </w:pPr>
      <w:r>
        <w:t xml:space="preserve">The agency </w:t>
      </w:r>
      <w:r w:rsidR="00072528">
        <w:t>recently advertised</w:t>
      </w:r>
      <w:r>
        <w:t xml:space="preserve"> for two open positions, one of which has already been filled. Interviews are currently underway to hire a full-time Information and Assistance Specialist with the NYConnects Program. The Community Educator position with the Navigator Program</w:t>
      </w:r>
      <w:r w:rsidR="00EE130E">
        <w:t xml:space="preserve"> has been</w:t>
      </w:r>
      <w:r>
        <w:t xml:space="preserve"> filled internally after a current Navigator expressed interest. </w:t>
      </w:r>
      <w:r w:rsidR="00EE130E">
        <w:t>This employee has many years of experience doing outreach and her skills are a perfect match for what the position entails. Now that the Community Educator position has been filled, the agency will be hiring for a part-time Navigator.</w:t>
      </w:r>
    </w:p>
    <w:p w:rsidR="009A1C9D" w:rsidRDefault="0030706B" w:rsidP="0080747C">
      <w:pPr>
        <w:spacing w:line="276" w:lineRule="auto"/>
      </w:pPr>
      <w:r>
        <w:t xml:space="preserve"> </w:t>
      </w:r>
      <w:r w:rsidR="009A1C9D">
        <w:t xml:space="preserve">  </w:t>
      </w:r>
    </w:p>
    <w:p w:rsidR="0080747C" w:rsidRDefault="00EE130E" w:rsidP="0080747C">
      <w:pPr>
        <w:spacing w:line="276" w:lineRule="auto"/>
      </w:pPr>
      <w:r>
        <w:t>Finally, m</w:t>
      </w:r>
      <w:r w:rsidR="009A1C9D">
        <w:t>embers were reminded about the Board Fellowship Event on Friday, July 15</w:t>
      </w:r>
      <w:r w:rsidR="009A1C9D" w:rsidRPr="009A1C9D">
        <w:rPr>
          <w:vertAlign w:val="superscript"/>
        </w:rPr>
        <w:t>th</w:t>
      </w:r>
      <w:r w:rsidR="009A1C9D">
        <w:t xml:space="preserve"> at 3 p.m. at the Homitzky residence in Athens.</w:t>
      </w:r>
      <w:r w:rsidR="00B003BD">
        <w:t xml:space="preserve"> Invites will be sent shortly.</w:t>
      </w:r>
      <w:r w:rsidR="0080747C">
        <w:t xml:space="preserve"> </w:t>
      </w:r>
    </w:p>
    <w:p w:rsidR="0080747C" w:rsidRDefault="0080747C" w:rsidP="0080747C">
      <w:pPr>
        <w:spacing w:line="276" w:lineRule="auto"/>
      </w:pPr>
    </w:p>
    <w:p w:rsidR="0080747C" w:rsidRDefault="0080747C" w:rsidP="0080747C">
      <w:pPr>
        <w:spacing w:line="276" w:lineRule="auto"/>
      </w:pPr>
      <w:r>
        <w:rPr>
          <w:u w:val="single"/>
        </w:rPr>
        <w:t>Discussion on Draft CEO Compensation Policy</w:t>
      </w:r>
    </w:p>
    <w:p w:rsidR="0080747C" w:rsidRPr="00902431" w:rsidRDefault="00B003BD" w:rsidP="0080747C">
      <w:pPr>
        <w:spacing w:line="276" w:lineRule="auto"/>
      </w:pPr>
      <w:r>
        <w:t xml:space="preserve">At this time, members discussed </w:t>
      </w:r>
      <w:r w:rsidR="00CA0D5F">
        <w:t xml:space="preserve">a Draft CEO Compensation Policy </w:t>
      </w:r>
      <w:r w:rsidR="00072528">
        <w:t xml:space="preserve">and recommended some </w:t>
      </w:r>
      <w:r w:rsidR="00CA0D5F">
        <w:t xml:space="preserve">minor revisions </w:t>
      </w:r>
      <w:r w:rsidR="00072528">
        <w:t>.</w:t>
      </w:r>
      <w:r w:rsidR="004D6294">
        <w:t>Th</w:t>
      </w:r>
      <w:r w:rsidR="00CA0D5F">
        <w:t xml:space="preserve">e Policy will be updated </w:t>
      </w:r>
      <w:r w:rsidR="004D6294">
        <w:t xml:space="preserve">and sent back </w:t>
      </w:r>
      <w:r w:rsidR="00072528">
        <w:t xml:space="preserve">to the Committee </w:t>
      </w:r>
      <w:r w:rsidR="004D6294">
        <w:t xml:space="preserve">for one last look. If all looks well, </w:t>
      </w:r>
      <w:r w:rsidR="00CA0D5F">
        <w:t>it</w:t>
      </w:r>
      <w:r w:rsidR="004D6294">
        <w:t xml:space="preserve"> will be brought to the next Board meeting on August </w:t>
      </w:r>
      <w:r w:rsidR="00F62413">
        <w:t>3</w:t>
      </w:r>
      <w:r w:rsidR="00F62413" w:rsidRPr="00F62413">
        <w:rPr>
          <w:vertAlign w:val="superscript"/>
        </w:rPr>
        <w:t>rd</w:t>
      </w:r>
      <w:r w:rsidR="00F62413">
        <w:t>.</w:t>
      </w:r>
    </w:p>
    <w:p w:rsidR="0080747C" w:rsidRDefault="0080747C" w:rsidP="0080747C">
      <w:pPr>
        <w:spacing w:line="276" w:lineRule="auto"/>
      </w:pPr>
    </w:p>
    <w:p w:rsidR="0080747C" w:rsidRPr="007B4AA6" w:rsidRDefault="0080747C" w:rsidP="0080747C">
      <w:pPr>
        <w:spacing w:before="240" w:line="276" w:lineRule="auto"/>
        <w:rPr>
          <w:b/>
        </w:rPr>
      </w:pPr>
      <w:r w:rsidRPr="007B4AA6">
        <w:rPr>
          <w:b/>
        </w:rPr>
        <w:t>ADJOURNMENT</w:t>
      </w:r>
    </w:p>
    <w:p w:rsidR="0080747C" w:rsidRPr="008814E1" w:rsidRDefault="00B003BD" w:rsidP="0080747C">
      <w:pPr>
        <w:spacing w:line="276" w:lineRule="auto"/>
      </w:pPr>
      <w:r>
        <w:t>The meeting adjourned at 9</w:t>
      </w:r>
      <w:r w:rsidR="0080747C">
        <w:t>:</w:t>
      </w:r>
      <w:r>
        <w:t>53</w:t>
      </w:r>
      <w:r w:rsidR="0080747C">
        <w:t xml:space="preserve"> a.m.</w:t>
      </w:r>
    </w:p>
    <w:p w:rsidR="0080747C" w:rsidRDefault="0080747C" w:rsidP="0080747C">
      <w:pPr>
        <w:jc w:val="both"/>
      </w:pPr>
    </w:p>
    <w:p w:rsidR="0080747C" w:rsidRDefault="0080747C" w:rsidP="0080747C">
      <w:pPr>
        <w:jc w:val="both"/>
        <w:rPr>
          <w:b/>
        </w:rPr>
      </w:pPr>
      <w:r>
        <w:t xml:space="preserve">The next Executive Committee meeting is scheduled for </w:t>
      </w:r>
      <w:r w:rsidR="00B003BD">
        <w:rPr>
          <w:b/>
        </w:rPr>
        <w:t>July 27</w:t>
      </w:r>
      <w:r>
        <w:rPr>
          <w:b/>
        </w:rPr>
        <w:t>, 2016.</w:t>
      </w:r>
    </w:p>
    <w:p w:rsidR="0080747C" w:rsidRDefault="0080747C" w:rsidP="0080747C">
      <w:pPr>
        <w:jc w:val="both"/>
        <w:rPr>
          <w:b/>
        </w:rPr>
      </w:pPr>
    </w:p>
    <w:p w:rsidR="0080747C" w:rsidRDefault="0080747C" w:rsidP="0080747C">
      <w:r w:rsidRPr="006B04CB">
        <w:rPr>
          <w:i/>
        </w:rPr>
        <w:t xml:space="preserve">Notes respectfully prepared and submitted by Aleshia Boyle on </w:t>
      </w:r>
      <w:r w:rsidR="007C6DAE">
        <w:rPr>
          <w:i/>
        </w:rPr>
        <w:t>June 23</w:t>
      </w:r>
      <w:r>
        <w:rPr>
          <w:i/>
        </w:rPr>
        <w:t>, 2016.</w:t>
      </w:r>
    </w:p>
    <w:p w:rsidR="006D030C" w:rsidRDefault="006D030C"/>
    <w:p w:rsidR="007C6DAE" w:rsidRDefault="007C6DAE"/>
    <w:p w:rsidR="007C6DAE" w:rsidRDefault="007C6DAE"/>
    <w:tbl>
      <w:tblPr>
        <w:tblpPr w:leftFromText="180" w:rightFromText="180" w:horzAnchor="margin" w:tblpXSpec="center" w:tblpY="-1440"/>
        <w:tblW w:w="12818" w:type="dxa"/>
        <w:tblLook w:val="04A0" w:firstRow="1" w:lastRow="0" w:firstColumn="1" w:lastColumn="0" w:noHBand="0" w:noVBand="1"/>
      </w:tblPr>
      <w:tblGrid>
        <w:gridCol w:w="450"/>
        <w:gridCol w:w="150"/>
        <w:gridCol w:w="1830"/>
        <w:gridCol w:w="254"/>
        <w:gridCol w:w="1922"/>
        <w:gridCol w:w="1874"/>
        <w:gridCol w:w="180"/>
        <w:gridCol w:w="1882"/>
        <w:gridCol w:w="1838"/>
        <w:gridCol w:w="1918"/>
        <w:gridCol w:w="520"/>
      </w:tblGrid>
      <w:tr w:rsidR="007C6DAE" w:rsidRPr="007C6DAE" w:rsidTr="007C6DAE">
        <w:trPr>
          <w:trHeight w:val="465"/>
        </w:trPr>
        <w:tc>
          <w:tcPr>
            <w:tcW w:w="12818" w:type="dxa"/>
            <w:gridSpan w:val="11"/>
            <w:tcBorders>
              <w:top w:val="nil"/>
              <w:left w:val="nil"/>
              <w:bottom w:val="nil"/>
              <w:right w:val="nil"/>
            </w:tcBorders>
            <w:shd w:val="clear" w:color="auto" w:fill="auto"/>
            <w:noWrap/>
            <w:vAlign w:val="center"/>
            <w:hideMark/>
          </w:tcPr>
          <w:p w:rsidR="00825A26" w:rsidRDefault="00825A26" w:rsidP="007C6DAE">
            <w:pPr>
              <w:widowControl/>
              <w:jc w:val="center"/>
              <w:rPr>
                <w:rFonts w:ascii="Calibri" w:eastAsia="Times New Roman" w:hAnsi="Calibri" w:cs="Times New Roman"/>
                <w:b/>
                <w:bCs/>
                <w:color w:val="000000"/>
                <w:sz w:val="28"/>
                <w:szCs w:val="28"/>
              </w:rPr>
            </w:pPr>
            <w:bookmarkStart w:id="0" w:name="RANGE!A1:H122"/>
          </w:p>
          <w:p w:rsidR="007C6DAE" w:rsidRPr="007C6DAE" w:rsidRDefault="007C6DAE" w:rsidP="007C6DAE">
            <w:pPr>
              <w:widowControl/>
              <w:jc w:val="center"/>
              <w:rPr>
                <w:rFonts w:ascii="Calibri" w:eastAsia="Times New Roman" w:hAnsi="Calibri" w:cs="Times New Roman"/>
                <w:b/>
                <w:bCs/>
                <w:color w:val="000000"/>
                <w:sz w:val="28"/>
                <w:szCs w:val="28"/>
              </w:rPr>
            </w:pPr>
            <w:bookmarkStart w:id="1" w:name="_GoBack"/>
            <w:bookmarkEnd w:id="1"/>
            <w:r w:rsidRPr="007C6DAE">
              <w:rPr>
                <w:rFonts w:ascii="Calibri" w:eastAsia="Times New Roman" w:hAnsi="Calibri" w:cs="Times New Roman"/>
                <w:b/>
                <w:bCs/>
                <w:color w:val="000000"/>
                <w:sz w:val="28"/>
                <w:szCs w:val="28"/>
              </w:rPr>
              <w:t>Executive Committee Meeting</w:t>
            </w:r>
            <w:bookmarkEnd w:id="0"/>
          </w:p>
        </w:tc>
      </w:tr>
      <w:tr w:rsidR="007C6DAE" w:rsidRPr="007C6DAE" w:rsidTr="007C6DAE">
        <w:trPr>
          <w:trHeight w:val="342"/>
        </w:trPr>
        <w:tc>
          <w:tcPr>
            <w:tcW w:w="12818" w:type="dxa"/>
            <w:gridSpan w:val="11"/>
            <w:tcBorders>
              <w:top w:val="nil"/>
              <w:left w:val="nil"/>
              <w:bottom w:val="nil"/>
              <w:right w:val="nil"/>
            </w:tcBorders>
            <w:shd w:val="clear" w:color="auto" w:fill="auto"/>
            <w:noWrap/>
            <w:vAlign w:val="center"/>
            <w:hideMark/>
          </w:tcPr>
          <w:p w:rsidR="007C6DAE" w:rsidRPr="007C6DAE" w:rsidRDefault="007C6DAE" w:rsidP="007C6DAE">
            <w:pPr>
              <w:widowControl/>
              <w:jc w:val="center"/>
              <w:rPr>
                <w:rFonts w:ascii="Calibri" w:eastAsia="Times New Roman" w:hAnsi="Calibri" w:cs="Times New Roman"/>
                <w:b/>
                <w:bCs/>
                <w:color w:val="000000"/>
                <w:sz w:val="28"/>
                <w:szCs w:val="28"/>
              </w:rPr>
            </w:pPr>
            <w:r w:rsidRPr="007C6DAE">
              <w:rPr>
                <w:rFonts w:ascii="Calibri" w:eastAsia="Times New Roman" w:hAnsi="Calibri" w:cs="Times New Roman"/>
                <w:b/>
                <w:bCs/>
                <w:color w:val="000000"/>
                <w:sz w:val="28"/>
                <w:szCs w:val="28"/>
              </w:rPr>
              <w:t xml:space="preserve">   Fiscal Highlights</w:t>
            </w:r>
          </w:p>
        </w:tc>
      </w:tr>
      <w:tr w:rsidR="007C6DAE" w:rsidRPr="007C6DAE" w:rsidTr="007C6DAE">
        <w:trPr>
          <w:trHeight w:val="465"/>
        </w:trPr>
        <w:tc>
          <w:tcPr>
            <w:tcW w:w="12818" w:type="dxa"/>
            <w:gridSpan w:val="11"/>
            <w:tcBorders>
              <w:top w:val="nil"/>
              <w:left w:val="nil"/>
              <w:bottom w:val="nil"/>
              <w:right w:val="nil"/>
            </w:tcBorders>
            <w:shd w:val="clear" w:color="auto" w:fill="auto"/>
            <w:noWrap/>
            <w:vAlign w:val="center"/>
            <w:hideMark/>
          </w:tcPr>
          <w:p w:rsidR="007C6DAE" w:rsidRPr="007C6DAE" w:rsidRDefault="007C6DAE" w:rsidP="007C6DAE">
            <w:pPr>
              <w:widowControl/>
              <w:jc w:val="center"/>
              <w:rPr>
                <w:rFonts w:eastAsia="Times New Roman" w:cs="Times New Roman"/>
                <w:b/>
                <w:bCs/>
                <w:color w:val="000000"/>
                <w:sz w:val="36"/>
                <w:szCs w:val="36"/>
              </w:rPr>
            </w:pPr>
            <w:r w:rsidRPr="007C6DAE">
              <w:rPr>
                <w:rFonts w:eastAsia="Times New Roman" w:cs="Times New Roman"/>
                <w:b/>
                <w:bCs/>
                <w:color w:val="000000"/>
                <w:sz w:val="36"/>
                <w:szCs w:val="36"/>
              </w:rPr>
              <w:t>Wednesday, June 22, 2016</w:t>
            </w:r>
          </w:p>
        </w:tc>
      </w:tr>
      <w:tr w:rsidR="007C6DAE" w:rsidRPr="007C6DAE" w:rsidTr="007C6DAE">
        <w:trPr>
          <w:trHeight w:val="315"/>
        </w:trPr>
        <w:tc>
          <w:tcPr>
            <w:tcW w:w="12818" w:type="dxa"/>
            <w:gridSpan w:val="11"/>
            <w:tcBorders>
              <w:top w:val="nil"/>
              <w:left w:val="nil"/>
              <w:bottom w:val="nil"/>
              <w:right w:val="nil"/>
            </w:tcBorders>
            <w:shd w:val="clear" w:color="auto" w:fill="auto"/>
            <w:vAlign w:val="bottom"/>
            <w:hideMark/>
          </w:tcPr>
          <w:p w:rsidR="007C6DAE" w:rsidRPr="007C6DAE" w:rsidRDefault="007C6DAE" w:rsidP="007C6DAE">
            <w:pPr>
              <w:widowControl/>
              <w:jc w:val="center"/>
              <w:rPr>
                <w:rFonts w:eastAsia="Times New Roman" w:cs="Times New Roman"/>
                <w:b/>
                <w:color w:val="000000"/>
                <w:sz w:val="24"/>
                <w:szCs w:val="24"/>
              </w:rPr>
            </w:pPr>
            <w:r w:rsidRPr="007C6DAE">
              <w:rPr>
                <w:rFonts w:eastAsia="Times New Roman" w:cs="Times New Roman"/>
                <w:b/>
                <w:color w:val="000000"/>
                <w:sz w:val="24"/>
                <w:szCs w:val="24"/>
              </w:rPr>
              <w:t>Statement of Financial Position</w:t>
            </w:r>
          </w:p>
        </w:tc>
      </w:tr>
      <w:tr w:rsidR="007C6DAE" w:rsidRPr="007C6DAE" w:rsidTr="007C6DAE">
        <w:trPr>
          <w:trHeight w:val="1005"/>
        </w:trPr>
        <w:tc>
          <w:tcPr>
            <w:tcW w:w="12818" w:type="dxa"/>
            <w:gridSpan w:val="11"/>
            <w:tcBorders>
              <w:top w:val="nil"/>
              <w:left w:val="nil"/>
              <w:bottom w:val="nil"/>
              <w:right w:val="nil"/>
            </w:tcBorders>
            <w:shd w:val="clear" w:color="auto" w:fill="auto"/>
            <w:hideMark/>
          </w:tcPr>
          <w:p w:rsidR="007C6DAE" w:rsidRPr="007C6DAE" w:rsidRDefault="007C6DAE" w:rsidP="007C6DAE">
            <w:pPr>
              <w:widowControl/>
              <w:ind w:left="522" w:right="560"/>
              <w:rPr>
                <w:rFonts w:ascii="Calibri" w:eastAsia="Times New Roman" w:hAnsi="Calibri"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b/>
                <w:bCs/>
                <w:color w:val="000000"/>
                <w:sz w:val="24"/>
                <w:szCs w:val="24"/>
              </w:rPr>
              <w:t xml:space="preserve"> Cash</w:t>
            </w:r>
            <w:r w:rsidRPr="007C6DAE">
              <w:rPr>
                <w:rFonts w:ascii="Calibri" w:eastAsia="Times New Roman" w:hAnsi="Calibri" w:cs="Times New Roman"/>
                <w:color w:val="000000"/>
                <w:sz w:val="24"/>
                <w:szCs w:val="24"/>
              </w:rPr>
              <w:t xml:space="preserve"> </w:t>
            </w:r>
            <w:proofErr w:type="gramStart"/>
            <w:r w:rsidRPr="007C6DAE">
              <w:rPr>
                <w:rFonts w:ascii="Calibri" w:eastAsia="Times New Roman" w:hAnsi="Calibri" w:cs="Times New Roman"/>
                <w:color w:val="000000"/>
                <w:sz w:val="24"/>
                <w:szCs w:val="24"/>
              </w:rPr>
              <w:t>-  Cash</w:t>
            </w:r>
            <w:proofErr w:type="gramEnd"/>
            <w:r w:rsidRPr="007C6DAE">
              <w:rPr>
                <w:rFonts w:ascii="Calibri" w:eastAsia="Times New Roman" w:hAnsi="Calibri" w:cs="Times New Roman"/>
                <w:color w:val="000000"/>
                <w:sz w:val="24"/>
                <w:szCs w:val="24"/>
              </w:rPr>
              <w:t xml:space="preserve"> balance in the operating checking account started the year off with $316K, May 31st balance at $313K and June 22nd balance is $255K.  On March 21, 2016, we transferred $120K from checking account to Investment-Essex National Securities.</w:t>
            </w:r>
          </w:p>
        </w:tc>
      </w:tr>
      <w:tr w:rsidR="007C6DAE" w:rsidRPr="007C6DAE" w:rsidTr="00825A26">
        <w:trPr>
          <w:trHeight w:val="475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Wingdings" w:eastAsia="Times New Roman" w:hAnsi="Wingdings" w:cs="Times New Roman"/>
                <w:color w:val="000000"/>
                <w:sz w:val="24"/>
                <w:szCs w:val="24"/>
              </w:rPr>
            </w:pPr>
          </w:p>
        </w:tc>
        <w:tc>
          <w:tcPr>
            <w:tcW w:w="2084"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r w:rsidRPr="007C6DAE">
              <w:rPr>
                <w:rFonts w:ascii="Wingdings" w:eastAsia="Times New Roman" w:hAnsi="Wingdings" w:cs="Times New Roman"/>
                <w:noProof/>
                <w:color w:val="000000"/>
                <w:sz w:val="24"/>
                <w:szCs w:val="24"/>
              </w:rPr>
              <w:drawing>
                <wp:anchor distT="0" distB="0" distL="114300" distR="114300" simplePos="0" relativeHeight="251660288" behindDoc="0" locked="0" layoutInCell="1" allowOverlap="1" wp14:anchorId="38E3F95B" wp14:editId="1CE1EB28">
                  <wp:simplePos x="0" y="0"/>
                  <wp:positionH relativeFrom="column">
                    <wp:posOffset>-3951605</wp:posOffset>
                  </wp:positionH>
                  <wp:positionV relativeFrom="paragraph">
                    <wp:posOffset>38100</wp:posOffset>
                  </wp:positionV>
                  <wp:extent cx="7029450" cy="2876550"/>
                  <wp:effectExtent l="0" t="0" r="0"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c>
          <w:tcPr>
            <w:tcW w:w="1838"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7C6DAE">
        <w:trPr>
          <w:trHeight w:val="1605"/>
        </w:trPr>
        <w:tc>
          <w:tcPr>
            <w:tcW w:w="12818" w:type="dxa"/>
            <w:gridSpan w:val="11"/>
            <w:tcBorders>
              <w:top w:val="nil"/>
              <w:left w:val="nil"/>
              <w:bottom w:val="nil"/>
              <w:right w:val="nil"/>
            </w:tcBorders>
            <w:shd w:val="clear" w:color="auto" w:fill="auto"/>
            <w:vAlign w:val="bottom"/>
            <w:hideMark/>
          </w:tcPr>
          <w:p w:rsidR="007C6DAE" w:rsidRPr="007C6DAE" w:rsidRDefault="007C6DAE" w:rsidP="007C6DAE">
            <w:pPr>
              <w:widowControl/>
              <w:ind w:left="612" w:right="740"/>
              <w:rPr>
                <w:rFonts w:ascii="Calibri" w:eastAsia="Times New Roman" w:hAnsi="Calibri"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color w:val="000000"/>
                <w:sz w:val="24"/>
                <w:szCs w:val="24"/>
              </w:rPr>
              <w:t xml:space="preserve"> </w:t>
            </w:r>
            <w:r w:rsidRPr="007C6DAE">
              <w:rPr>
                <w:rFonts w:ascii="Calibri" w:eastAsia="Times New Roman" w:hAnsi="Calibri" w:cs="Times New Roman"/>
                <w:b/>
                <w:bCs/>
                <w:color w:val="000000"/>
                <w:sz w:val="24"/>
                <w:szCs w:val="24"/>
              </w:rPr>
              <w:t xml:space="preserve">Grant Receivable - </w:t>
            </w:r>
            <w:r w:rsidRPr="007C6DAE">
              <w:rPr>
                <w:rFonts w:ascii="Calibri" w:eastAsia="Times New Roman" w:hAnsi="Calibri" w:cs="Times New Roman"/>
                <w:color w:val="000000"/>
                <w:sz w:val="24"/>
                <w:szCs w:val="24"/>
              </w:rPr>
              <w:t xml:space="preserve">  Grants receivable represents billed and unbilled amounts related to CCCHC's cost reimbursable and fee based government contracts. Amounts recorded are current in nature and represent eligible reimbursements under related contracts. At May 31, 2016, Grant Receivable is $322,797. Expectation is that we will collect on all receivables and no allowance for doubtful amounts has been recorded. Not aware of any issues on collectability.</w:t>
            </w:r>
          </w:p>
        </w:tc>
      </w:tr>
      <w:tr w:rsidR="007C6DAE" w:rsidRPr="007C6DAE" w:rsidTr="00825A26">
        <w:trPr>
          <w:trHeight w:val="315"/>
        </w:trPr>
        <w:tc>
          <w:tcPr>
            <w:tcW w:w="600" w:type="dxa"/>
            <w:gridSpan w:val="2"/>
            <w:tcBorders>
              <w:top w:val="nil"/>
              <w:left w:val="nil"/>
              <w:bottom w:val="nil"/>
              <w:right w:val="nil"/>
            </w:tcBorders>
            <w:shd w:val="clear" w:color="auto" w:fill="auto"/>
            <w:vAlign w:val="bottom"/>
            <w:hideMark/>
          </w:tcPr>
          <w:p w:rsidR="007C6DAE" w:rsidRPr="007C6DAE" w:rsidRDefault="007C6DAE" w:rsidP="007C6DAE">
            <w:pPr>
              <w:widowControl/>
              <w:rPr>
                <w:rFonts w:ascii="Wingdings" w:eastAsia="Times New Roman" w:hAnsi="Wingdings" w:cs="Times New Roman"/>
                <w:color w:val="000000"/>
                <w:sz w:val="24"/>
                <w:szCs w:val="24"/>
              </w:rPr>
            </w:pPr>
          </w:p>
        </w:tc>
        <w:tc>
          <w:tcPr>
            <w:tcW w:w="4006" w:type="dxa"/>
            <w:gridSpan w:val="3"/>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Program</w:t>
            </w:r>
          </w:p>
        </w:tc>
        <w:tc>
          <w:tcPr>
            <w:tcW w:w="1874" w:type="dxa"/>
            <w:tcBorders>
              <w:top w:val="nil"/>
              <w:left w:val="nil"/>
              <w:bottom w:val="nil"/>
              <w:right w:val="nil"/>
            </w:tcBorders>
            <w:shd w:val="clear" w:color="auto" w:fill="auto"/>
            <w:vAlign w:val="bottom"/>
            <w:hideMark/>
          </w:tcPr>
          <w:p w:rsidR="007C6DAE" w:rsidRPr="007C6DAE" w:rsidRDefault="007C6DAE" w:rsidP="007C6DAE">
            <w:pPr>
              <w:widowControl/>
              <w:jc w:val="right"/>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May-16</w:t>
            </w:r>
          </w:p>
        </w:tc>
        <w:tc>
          <w:tcPr>
            <w:tcW w:w="2062" w:type="dxa"/>
            <w:gridSpan w:val="2"/>
            <w:tcBorders>
              <w:top w:val="nil"/>
              <w:left w:val="nil"/>
              <w:bottom w:val="nil"/>
              <w:right w:val="nil"/>
            </w:tcBorders>
            <w:shd w:val="clear" w:color="auto" w:fill="auto"/>
            <w:vAlign w:val="bottom"/>
            <w:hideMark/>
          </w:tcPr>
          <w:p w:rsidR="007C6DAE" w:rsidRPr="007C6DAE" w:rsidRDefault="007C6DAE" w:rsidP="007C6DAE">
            <w:pPr>
              <w:widowControl/>
              <w:jc w:val="right"/>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April-16</w:t>
            </w: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right"/>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Older</w:t>
            </w: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right"/>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Total</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right"/>
              <w:rPr>
                <w:rFonts w:ascii="Times New Roman" w:eastAsia="Times New Roman" w:hAnsi="Times New Roman" w:cs="Times New Roman"/>
                <w:b/>
                <w:bCs/>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Rural Health Network Program</w:t>
            </w:r>
          </w:p>
        </w:tc>
        <w:tc>
          <w:tcPr>
            <w:tcW w:w="1874"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35,352 </w:t>
            </w:r>
          </w:p>
        </w:tc>
        <w:tc>
          <w:tcPr>
            <w:tcW w:w="2062"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35,352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Navigator Health Exchange Program</w:t>
            </w:r>
          </w:p>
        </w:tc>
        <w:tc>
          <w:tcPr>
            <w:tcW w:w="2054"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21,508 </w:t>
            </w:r>
          </w:p>
        </w:tc>
        <w:tc>
          <w:tcPr>
            <w:tcW w:w="1882"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23,726 </w:t>
            </w: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23,704 </w:t>
            </w: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68,938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Tobacco-Free Program</w:t>
            </w:r>
          </w:p>
        </w:tc>
        <w:tc>
          <w:tcPr>
            <w:tcW w:w="2054"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52,380 </w:t>
            </w:r>
          </w:p>
        </w:tc>
        <w:tc>
          <w:tcPr>
            <w:tcW w:w="1882"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21,070 </w:t>
            </w: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73,450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Cancer Services Program</w:t>
            </w:r>
          </w:p>
        </w:tc>
        <w:tc>
          <w:tcPr>
            <w:tcW w:w="2054"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9,620 </w:t>
            </w:r>
          </w:p>
        </w:tc>
        <w:tc>
          <w:tcPr>
            <w:tcW w:w="1882"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13,038 </w:t>
            </w: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72,774 </w:t>
            </w: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95,432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Transportation-Medicaid</w:t>
            </w:r>
          </w:p>
        </w:tc>
        <w:tc>
          <w:tcPr>
            <w:tcW w:w="2054"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15,456 </w:t>
            </w:r>
          </w:p>
        </w:tc>
        <w:tc>
          <w:tcPr>
            <w:tcW w:w="1882"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8,338 </w:t>
            </w: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3,256 </w:t>
            </w: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27,051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Other Columbia County Programs</w:t>
            </w:r>
          </w:p>
        </w:tc>
        <w:tc>
          <w:tcPr>
            <w:tcW w:w="2054"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13,028 </w:t>
            </w:r>
          </w:p>
        </w:tc>
        <w:tc>
          <w:tcPr>
            <w:tcW w:w="1882"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6,322 </w:t>
            </w: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19,350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Greene County DSS</w:t>
            </w:r>
          </w:p>
        </w:tc>
        <w:tc>
          <w:tcPr>
            <w:tcW w:w="2054" w:type="dxa"/>
            <w:gridSpan w:val="2"/>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3,224 </w:t>
            </w:r>
          </w:p>
        </w:tc>
        <w:tc>
          <w:tcPr>
            <w:tcW w:w="1882"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3,224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30"/>
        </w:trPr>
        <w:tc>
          <w:tcPr>
            <w:tcW w:w="45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156" w:type="dxa"/>
            <w:gridSpan w:val="4"/>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Total Grant Receivable</w:t>
            </w:r>
          </w:p>
        </w:tc>
        <w:tc>
          <w:tcPr>
            <w:tcW w:w="2054" w:type="dxa"/>
            <w:gridSpan w:val="2"/>
            <w:tcBorders>
              <w:top w:val="single" w:sz="4" w:space="0" w:color="auto"/>
              <w:left w:val="nil"/>
              <w:bottom w:val="double" w:sz="6" w:space="0" w:color="auto"/>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 $           150,568 </w:t>
            </w:r>
          </w:p>
        </w:tc>
        <w:tc>
          <w:tcPr>
            <w:tcW w:w="1882" w:type="dxa"/>
            <w:tcBorders>
              <w:top w:val="single" w:sz="4" w:space="0" w:color="auto"/>
              <w:left w:val="nil"/>
              <w:bottom w:val="double" w:sz="6" w:space="0" w:color="auto"/>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 $             72,494 </w:t>
            </w:r>
          </w:p>
        </w:tc>
        <w:tc>
          <w:tcPr>
            <w:tcW w:w="1838" w:type="dxa"/>
            <w:tcBorders>
              <w:top w:val="single" w:sz="4" w:space="0" w:color="auto"/>
              <w:left w:val="nil"/>
              <w:bottom w:val="double" w:sz="6" w:space="0" w:color="auto"/>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 $             99,734 </w:t>
            </w:r>
          </w:p>
        </w:tc>
        <w:tc>
          <w:tcPr>
            <w:tcW w:w="1918" w:type="dxa"/>
            <w:tcBorders>
              <w:top w:val="single" w:sz="4" w:space="0" w:color="auto"/>
              <w:left w:val="nil"/>
              <w:bottom w:val="double" w:sz="6" w:space="0" w:color="auto"/>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 $            322,797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p>
        </w:tc>
      </w:tr>
      <w:tr w:rsidR="007C6DAE" w:rsidRPr="007C6DAE" w:rsidTr="00825A26">
        <w:trPr>
          <w:trHeight w:val="195"/>
        </w:trPr>
        <w:tc>
          <w:tcPr>
            <w:tcW w:w="600" w:type="dxa"/>
            <w:gridSpan w:val="2"/>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7C6DAE">
        <w:trPr>
          <w:trHeight w:val="454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1698" w:type="dxa"/>
            <w:gridSpan w:val="8"/>
            <w:tcBorders>
              <w:top w:val="nil"/>
              <w:left w:val="nil"/>
              <w:bottom w:val="nil"/>
              <w:right w:val="nil"/>
            </w:tcBorders>
            <w:shd w:val="clear" w:color="auto" w:fill="auto"/>
            <w:hideMark/>
          </w:tcPr>
          <w:p w:rsidR="007C6DAE" w:rsidRPr="007C6DAE" w:rsidRDefault="007C6DAE" w:rsidP="007C6DAE">
            <w:pPr>
              <w:widowControl/>
              <w:rPr>
                <w:rFonts w:ascii="Wingdings" w:eastAsia="Times New Roman" w:hAnsi="Wingdings" w:cs="Times New Roman"/>
                <w:color w:val="000000"/>
                <w:sz w:val="24"/>
                <w:szCs w:val="24"/>
              </w:rPr>
            </w:pPr>
            <w:r w:rsidRPr="007C6DAE">
              <w:rPr>
                <w:rFonts w:ascii="Wingdings" w:eastAsia="Times New Roman" w:hAnsi="Wingdings" w:cs="Times New Roman"/>
                <w:noProof/>
                <w:color w:val="000000"/>
                <w:sz w:val="24"/>
                <w:szCs w:val="24"/>
              </w:rPr>
              <w:drawing>
                <wp:anchor distT="0" distB="0" distL="114300" distR="114300" simplePos="0" relativeHeight="251659264" behindDoc="0" locked="0" layoutInCell="1" allowOverlap="1">
                  <wp:simplePos x="0" y="0"/>
                  <wp:positionH relativeFrom="column">
                    <wp:posOffset>418465</wp:posOffset>
                  </wp:positionH>
                  <wp:positionV relativeFrom="paragraph">
                    <wp:posOffset>66675</wp:posOffset>
                  </wp:positionV>
                  <wp:extent cx="6334125" cy="2762250"/>
                  <wp:effectExtent l="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520" w:type="dxa"/>
            <w:tcBorders>
              <w:top w:val="nil"/>
              <w:left w:val="nil"/>
              <w:bottom w:val="nil"/>
              <w:right w:val="nil"/>
            </w:tcBorders>
            <w:shd w:val="clear" w:color="auto" w:fill="auto"/>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7C6DAE">
        <w:trPr>
          <w:trHeight w:val="1335"/>
        </w:trPr>
        <w:tc>
          <w:tcPr>
            <w:tcW w:w="12818" w:type="dxa"/>
            <w:gridSpan w:val="11"/>
            <w:tcBorders>
              <w:top w:val="nil"/>
              <w:left w:val="nil"/>
              <w:bottom w:val="nil"/>
              <w:right w:val="nil"/>
            </w:tcBorders>
            <w:shd w:val="clear" w:color="auto" w:fill="auto"/>
            <w:hideMark/>
          </w:tcPr>
          <w:p w:rsidR="007C6DAE" w:rsidRPr="007C6DAE" w:rsidRDefault="007C6DAE" w:rsidP="008C5C76">
            <w:pPr>
              <w:widowControl/>
              <w:ind w:left="522" w:right="56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b/>
                <w:bCs/>
                <w:color w:val="000000"/>
                <w:sz w:val="24"/>
                <w:szCs w:val="24"/>
              </w:rPr>
              <w:t xml:space="preserve"> Investment - Essex National Securities</w:t>
            </w:r>
            <w:r w:rsidRPr="007C6DAE">
              <w:rPr>
                <w:rFonts w:ascii="Calibri" w:eastAsia="Times New Roman" w:hAnsi="Calibri" w:cs="Times New Roman"/>
                <w:color w:val="000000"/>
                <w:sz w:val="24"/>
                <w:szCs w:val="24"/>
              </w:rPr>
              <w:t xml:space="preserve"> - As of May 31, 2016, account value is $151,087 and remains 100% in cash. On May 16th, $12,000 was invested in six different mutual funds and $75,000 was invested in two CDs maturing on August 25, 2016 and November 23, 2016. </w:t>
            </w: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Wingdings" w:eastAsia="Times New Roman" w:hAnsi="Wingdings" w:cs="Times New Roman"/>
                <w:color w:val="000000"/>
                <w:sz w:val="24"/>
                <w:szCs w:val="24"/>
              </w:rPr>
            </w:pPr>
          </w:p>
        </w:tc>
        <w:tc>
          <w:tcPr>
            <w:tcW w:w="2084" w:type="dxa"/>
            <w:gridSpan w:val="2"/>
            <w:tcBorders>
              <w:top w:val="single" w:sz="8" w:space="0" w:color="auto"/>
              <w:left w:val="single" w:sz="8" w:space="0" w:color="auto"/>
              <w:bottom w:val="nil"/>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b/>
                <w:bCs/>
                <w:color w:val="000000"/>
              </w:rPr>
            </w:pPr>
            <w:r w:rsidRPr="007C6DAE">
              <w:rPr>
                <w:rFonts w:ascii="Calibri" w:eastAsia="Times New Roman" w:hAnsi="Calibri" w:cs="Times New Roman"/>
                <w:b/>
                <w:bCs/>
                <w:color w:val="000000"/>
              </w:rPr>
              <w:t> </w:t>
            </w:r>
          </w:p>
        </w:tc>
        <w:tc>
          <w:tcPr>
            <w:tcW w:w="3796"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Investment Description</w:t>
            </w:r>
          </w:p>
        </w:tc>
        <w:tc>
          <w:tcPr>
            <w:tcW w:w="2062" w:type="dxa"/>
            <w:gridSpan w:val="2"/>
            <w:tcBorders>
              <w:top w:val="single" w:sz="8" w:space="0" w:color="auto"/>
              <w:left w:val="nil"/>
              <w:bottom w:val="nil"/>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Number of</w:t>
            </w:r>
          </w:p>
        </w:tc>
        <w:tc>
          <w:tcPr>
            <w:tcW w:w="1838" w:type="dxa"/>
            <w:tcBorders>
              <w:top w:val="single" w:sz="8" w:space="0" w:color="auto"/>
              <w:left w:val="nil"/>
              <w:bottom w:val="nil"/>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b/>
                <w:bCs/>
                <w:color w:val="000000"/>
              </w:rPr>
            </w:pPr>
            <w:r w:rsidRPr="007C6DAE">
              <w:rPr>
                <w:rFonts w:ascii="Calibri" w:eastAsia="Times New Roman" w:hAnsi="Calibri" w:cs="Times New Roman"/>
                <w:b/>
                <w:bCs/>
                <w:color w:val="000000"/>
              </w:rPr>
              <w:t> </w:t>
            </w:r>
          </w:p>
        </w:tc>
        <w:tc>
          <w:tcPr>
            <w:tcW w:w="1918" w:type="dxa"/>
            <w:tcBorders>
              <w:top w:val="single" w:sz="8" w:space="0" w:color="auto"/>
              <w:left w:val="nil"/>
              <w:bottom w:val="nil"/>
              <w:right w:val="single" w:sz="8"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b/>
                <w:bCs/>
                <w:color w:val="000000"/>
              </w:rPr>
            </w:pPr>
            <w:r w:rsidRPr="007C6DAE">
              <w:rPr>
                <w:rFonts w:ascii="Calibri" w:eastAsia="Times New Roman" w:hAnsi="Calibri" w:cs="Times New Roman"/>
                <w:b/>
                <w:bCs/>
                <w:color w:val="000000"/>
              </w:rPr>
              <w:t>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b/>
                <w:bCs/>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2084" w:type="dxa"/>
            <w:gridSpan w:val="2"/>
            <w:tcBorders>
              <w:top w:val="nil"/>
              <w:left w:val="single" w:sz="8" w:space="0" w:color="auto"/>
              <w:bottom w:val="nil"/>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Security</w:t>
            </w:r>
          </w:p>
        </w:tc>
        <w:tc>
          <w:tcPr>
            <w:tcW w:w="3796" w:type="dxa"/>
            <w:gridSpan w:val="2"/>
            <w:vMerge/>
            <w:tcBorders>
              <w:top w:val="nil"/>
              <w:left w:val="single" w:sz="8" w:space="0" w:color="auto"/>
              <w:bottom w:val="nil"/>
              <w:right w:val="single" w:sz="4" w:space="0" w:color="auto"/>
            </w:tcBorders>
            <w:vAlign w:val="center"/>
            <w:hideMark/>
          </w:tcPr>
          <w:p w:rsidR="007C6DAE" w:rsidRPr="007C6DAE" w:rsidRDefault="007C6DAE" w:rsidP="007C6DAE">
            <w:pPr>
              <w:widowControl/>
              <w:rPr>
                <w:rFonts w:ascii="Calibri" w:eastAsia="Times New Roman" w:hAnsi="Calibri" w:cs="Times New Roman"/>
                <w:b/>
                <w:bCs/>
                <w:color w:val="000000"/>
              </w:rPr>
            </w:pPr>
          </w:p>
        </w:tc>
        <w:tc>
          <w:tcPr>
            <w:tcW w:w="2062" w:type="dxa"/>
            <w:gridSpan w:val="2"/>
            <w:tcBorders>
              <w:top w:val="nil"/>
              <w:left w:val="nil"/>
              <w:bottom w:val="nil"/>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Shares</w:t>
            </w:r>
          </w:p>
        </w:tc>
        <w:tc>
          <w:tcPr>
            <w:tcW w:w="1838" w:type="dxa"/>
            <w:tcBorders>
              <w:top w:val="nil"/>
              <w:left w:val="nil"/>
              <w:bottom w:val="nil"/>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Cost</w:t>
            </w:r>
          </w:p>
        </w:tc>
        <w:tc>
          <w:tcPr>
            <w:tcW w:w="1918" w:type="dxa"/>
            <w:tcBorders>
              <w:top w:val="nil"/>
              <w:left w:val="nil"/>
              <w:bottom w:val="nil"/>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Cost per</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2084" w:type="dxa"/>
            <w:gridSpan w:val="2"/>
            <w:tcBorders>
              <w:top w:val="nil"/>
              <w:left w:val="single" w:sz="8" w:space="0" w:color="auto"/>
              <w:bottom w:val="single" w:sz="8"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ID</w:t>
            </w:r>
          </w:p>
        </w:tc>
        <w:tc>
          <w:tcPr>
            <w:tcW w:w="3796" w:type="dxa"/>
            <w:gridSpan w:val="2"/>
            <w:vMerge/>
            <w:tcBorders>
              <w:top w:val="nil"/>
              <w:left w:val="single" w:sz="8" w:space="0" w:color="auto"/>
              <w:bottom w:val="single" w:sz="8" w:space="0" w:color="auto"/>
              <w:right w:val="single" w:sz="4" w:space="0" w:color="auto"/>
            </w:tcBorders>
            <w:vAlign w:val="center"/>
            <w:hideMark/>
          </w:tcPr>
          <w:p w:rsidR="007C6DAE" w:rsidRPr="007C6DAE" w:rsidRDefault="007C6DAE" w:rsidP="007C6DAE">
            <w:pPr>
              <w:widowControl/>
              <w:rPr>
                <w:rFonts w:ascii="Calibri" w:eastAsia="Times New Roman" w:hAnsi="Calibri" w:cs="Times New Roman"/>
                <w:b/>
                <w:bCs/>
                <w:color w:val="000000"/>
              </w:rPr>
            </w:pPr>
          </w:p>
        </w:tc>
        <w:tc>
          <w:tcPr>
            <w:tcW w:w="2062" w:type="dxa"/>
            <w:gridSpan w:val="2"/>
            <w:tcBorders>
              <w:top w:val="nil"/>
              <w:left w:val="nil"/>
              <w:bottom w:val="single" w:sz="8"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Purchased</w:t>
            </w:r>
          </w:p>
        </w:tc>
        <w:tc>
          <w:tcPr>
            <w:tcW w:w="1838" w:type="dxa"/>
            <w:tcBorders>
              <w:top w:val="nil"/>
              <w:left w:val="nil"/>
              <w:bottom w:val="single" w:sz="8"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 </w:t>
            </w:r>
          </w:p>
        </w:tc>
        <w:tc>
          <w:tcPr>
            <w:tcW w:w="1918" w:type="dxa"/>
            <w:tcBorders>
              <w:top w:val="nil"/>
              <w:left w:val="nil"/>
              <w:bottom w:val="single" w:sz="8"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Share</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TEGBX</w:t>
            </w:r>
          </w:p>
        </w:tc>
        <w:tc>
          <w:tcPr>
            <w:tcW w:w="3796" w:type="dxa"/>
            <w:gridSpan w:val="2"/>
            <w:tcBorders>
              <w:top w:val="single" w:sz="8"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Templeton Global Bond Fund Class C</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176.211</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$2,000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$11.35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FSGCX</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 xml:space="preserve">Franklin Templeton Strategic Income Fund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214.592</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$2,000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$9.31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FCSCX</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 xml:space="preserve">Franklin Adjustable US </w:t>
            </w:r>
            <w:proofErr w:type="spellStart"/>
            <w:r w:rsidRPr="007C6DAE">
              <w:rPr>
                <w:rFonts w:ascii="Calibri" w:eastAsia="Times New Roman" w:hAnsi="Calibri" w:cs="Times New Roman"/>
                <w:color w:val="000000"/>
                <w:sz w:val="18"/>
                <w:szCs w:val="18"/>
              </w:rPr>
              <w:t>Govt</w:t>
            </w:r>
            <w:proofErr w:type="spellEnd"/>
            <w:r w:rsidRPr="007C6DAE">
              <w:rPr>
                <w:rFonts w:ascii="Calibri" w:eastAsia="Times New Roman" w:hAnsi="Calibri" w:cs="Times New Roman"/>
                <w:color w:val="000000"/>
                <w:sz w:val="18"/>
                <w:szCs w:val="18"/>
              </w:rPr>
              <w:t xml:space="preserve"> Securities Fund</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237.812</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$2,000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$8.41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FRGSX</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Franklin Growth Fund Class C</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29.231</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$2,000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$68.42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FRUGX</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 xml:space="preserve">Franklin US Government </w:t>
            </w:r>
            <w:proofErr w:type="spellStart"/>
            <w:r w:rsidRPr="007C6DAE">
              <w:rPr>
                <w:rFonts w:ascii="Calibri" w:eastAsia="Times New Roman" w:hAnsi="Calibri" w:cs="Times New Roman"/>
                <w:color w:val="000000"/>
                <w:sz w:val="18"/>
                <w:szCs w:val="18"/>
              </w:rPr>
              <w:t>Securties</w:t>
            </w:r>
            <w:proofErr w:type="spellEnd"/>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315.956</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$2,000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$6.33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FCISX</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Franklin Income Fund Class C</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921.659</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$2,000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$2.17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b/>
                <w:bCs/>
                <w:color w:val="000000"/>
              </w:rPr>
            </w:pPr>
            <w:r w:rsidRPr="007C6DAE">
              <w:rPr>
                <w:rFonts w:ascii="Calibri" w:eastAsia="Times New Roman" w:hAnsi="Calibri" w:cs="Times New Roman"/>
                <w:b/>
                <w:bCs/>
                <w:color w:val="000000"/>
              </w:rPr>
              <w:t> </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Frederick County Bancorp CD-Mat. 11/23/16</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$38,000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37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18"/>
                <w:szCs w:val="18"/>
              </w:rPr>
            </w:pPr>
            <w:r w:rsidRPr="007C6DAE">
              <w:rPr>
                <w:rFonts w:ascii="Calibri" w:eastAsia="Times New Roman" w:hAnsi="Calibri" w:cs="Times New Roman"/>
                <w:color w:val="000000"/>
                <w:sz w:val="18"/>
                <w:szCs w:val="18"/>
              </w:rPr>
              <w:t>People's United Bank CD-Mat. 08/25/16</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$37,000 </w:t>
            </w:r>
          </w:p>
        </w:tc>
        <w:tc>
          <w:tcPr>
            <w:tcW w:w="1918" w:type="dxa"/>
            <w:tcBorders>
              <w:top w:val="nil"/>
              <w:left w:val="nil"/>
              <w:bottom w:val="single" w:sz="4" w:space="0" w:color="auto"/>
              <w:right w:val="single" w:sz="8"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8" w:space="0" w:color="auto"/>
              <w:bottom w:val="single" w:sz="8"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3796" w:type="dxa"/>
            <w:gridSpan w:val="2"/>
            <w:tcBorders>
              <w:top w:val="single" w:sz="4" w:space="0" w:color="auto"/>
              <w:left w:val="nil"/>
              <w:bottom w:val="single" w:sz="8" w:space="0" w:color="auto"/>
              <w:right w:val="single" w:sz="4" w:space="0" w:color="000000"/>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Cash</w:t>
            </w:r>
          </w:p>
        </w:tc>
        <w:tc>
          <w:tcPr>
            <w:tcW w:w="2062" w:type="dxa"/>
            <w:gridSpan w:val="2"/>
            <w:tcBorders>
              <w:top w:val="nil"/>
              <w:left w:val="nil"/>
              <w:bottom w:val="single" w:sz="8"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8" w:space="0" w:color="auto"/>
              <w:right w:val="single" w:sz="4" w:space="0" w:color="auto"/>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$64,041 </w:t>
            </w:r>
          </w:p>
        </w:tc>
        <w:tc>
          <w:tcPr>
            <w:tcW w:w="1918" w:type="dxa"/>
            <w:tcBorders>
              <w:top w:val="nil"/>
              <w:left w:val="nil"/>
              <w:bottom w:val="single" w:sz="8" w:space="0" w:color="auto"/>
              <w:right w:val="single" w:sz="8"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10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Totals</w:t>
            </w:r>
          </w:p>
        </w:tc>
        <w:tc>
          <w:tcPr>
            <w:tcW w:w="2062" w:type="dxa"/>
            <w:gridSpan w:val="2"/>
            <w:tcBorders>
              <w:top w:val="nil"/>
              <w:left w:val="nil"/>
              <w:bottom w:val="nil"/>
              <w:right w:val="nil"/>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p>
        </w:tc>
        <w:tc>
          <w:tcPr>
            <w:tcW w:w="1838" w:type="dxa"/>
            <w:tcBorders>
              <w:top w:val="single" w:sz="4" w:space="0" w:color="auto"/>
              <w:left w:val="nil"/>
              <w:bottom w:val="double" w:sz="6" w:space="0" w:color="auto"/>
              <w:right w:val="nil"/>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xml:space="preserve">$151,041 </w:t>
            </w:r>
          </w:p>
        </w:tc>
        <w:tc>
          <w:tcPr>
            <w:tcW w:w="1918" w:type="dxa"/>
            <w:tcBorders>
              <w:top w:val="nil"/>
              <w:left w:val="nil"/>
              <w:bottom w:val="nil"/>
              <w:right w:val="nil"/>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noWrap/>
            <w:vAlign w:val="bottom"/>
            <w:hideMark/>
          </w:tcPr>
          <w:p w:rsidR="007C6DAE" w:rsidRPr="007C6DAE" w:rsidRDefault="007C6DAE" w:rsidP="007C6DAE">
            <w:pPr>
              <w:widowControl/>
              <w:jc w:val="right"/>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7C6DAE">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sz w:val="24"/>
                <w:szCs w:val="24"/>
              </w:rPr>
            </w:pPr>
            <w:r w:rsidRPr="007C6DAE">
              <w:rPr>
                <w:rFonts w:ascii="Calibri" w:eastAsia="Times New Roman" w:hAnsi="Calibri" w:cs="Times New Roman"/>
                <w:b/>
                <w:bCs/>
                <w:color w:val="000000"/>
                <w:sz w:val="24"/>
                <w:szCs w:val="24"/>
              </w:rPr>
              <w:t>Date</w:t>
            </w:r>
          </w:p>
        </w:tc>
        <w:tc>
          <w:tcPr>
            <w:tcW w:w="5858" w:type="dxa"/>
            <w:gridSpan w:val="4"/>
            <w:tcBorders>
              <w:top w:val="single" w:sz="4" w:space="0" w:color="auto"/>
              <w:left w:val="nil"/>
              <w:bottom w:val="nil"/>
              <w:right w:val="single" w:sz="4" w:space="0" w:color="000000"/>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Transaction</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 xml:space="preserve">Cash Transaction </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Cash Balance</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5/25/2016</w:t>
            </w:r>
          </w:p>
        </w:tc>
        <w:tc>
          <w:tcPr>
            <w:tcW w:w="1922" w:type="dxa"/>
            <w:tcBorders>
              <w:top w:val="single" w:sz="4" w:space="0" w:color="auto"/>
              <w:left w:val="nil"/>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Cash Available</w:t>
            </w:r>
          </w:p>
        </w:tc>
        <w:tc>
          <w:tcPr>
            <w:tcW w:w="1874" w:type="dxa"/>
            <w:tcBorders>
              <w:top w:val="single" w:sz="4" w:space="0" w:color="auto"/>
              <w:left w:val="nil"/>
              <w:bottom w:val="single" w:sz="4" w:space="0" w:color="auto"/>
              <w:right w:val="nil"/>
            </w:tcBorders>
            <w:shd w:val="clear" w:color="auto" w:fill="auto"/>
            <w:noWrap/>
            <w:vAlign w:val="bottom"/>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 </w:t>
            </w:r>
          </w:p>
        </w:tc>
        <w:tc>
          <w:tcPr>
            <w:tcW w:w="20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64,041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6/27/2016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54,041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7/25/2016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44,041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7C6DAE">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8/25/2016</w:t>
            </w:r>
          </w:p>
        </w:tc>
        <w:tc>
          <w:tcPr>
            <w:tcW w:w="5858"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Maturity of People's United Bank- CD</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37,250 </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81,291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8/25/2016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71,291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9/26/2016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61,291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10/25/2016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51,291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7C6DAE">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11/23/2016</w:t>
            </w:r>
          </w:p>
        </w:tc>
        <w:tc>
          <w:tcPr>
            <w:tcW w:w="5858"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 xml:space="preserve">Maturity of </w:t>
            </w:r>
            <w:proofErr w:type="spellStart"/>
            <w:r w:rsidRPr="007C6DAE">
              <w:rPr>
                <w:rFonts w:ascii="Calibri" w:eastAsia="Times New Roman" w:hAnsi="Calibri" w:cs="Times New Roman"/>
                <w:color w:val="000000"/>
                <w:sz w:val="24"/>
                <w:szCs w:val="24"/>
              </w:rPr>
              <w:t>Federick</w:t>
            </w:r>
            <w:proofErr w:type="spellEnd"/>
            <w:r w:rsidRPr="007C6DAE">
              <w:rPr>
                <w:rFonts w:ascii="Calibri" w:eastAsia="Times New Roman" w:hAnsi="Calibri" w:cs="Times New Roman"/>
                <w:color w:val="000000"/>
                <w:sz w:val="24"/>
                <w:szCs w:val="24"/>
              </w:rPr>
              <w:t xml:space="preserve"> County Bancorp - CD</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38,400 </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89,691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11/25/2016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79,691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12/26/2016</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69,691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1/25/2017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59,691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2/27/2017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49,691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3/27/2017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39,691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4/25/2017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29,691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5/25/2017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6/25/2017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(10,000)</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9,691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7/25/2017</w:t>
            </w:r>
          </w:p>
        </w:tc>
        <w:tc>
          <w:tcPr>
            <w:tcW w:w="3796" w:type="dxa"/>
            <w:gridSpan w:val="2"/>
            <w:tcBorders>
              <w:top w:val="single" w:sz="4" w:space="0" w:color="auto"/>
              <w:left w:val="single" w:sz="4" w:space="0" w:color="auto"/>
              <w:bottom w:val="single" w:sz="4" w:space="0" w:color="auto"/>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sz w:val="24"/>
                <w:szCs w:val="24"/>
              </w:rPr>
            </w:pPr>
            <w:r w:rsidRPr="007C6DAE">
              <w:rPr>
                <w:rFonts w:ascii="Calibri" w:eastAsia="Times New Roman" w:hAnsi="Calibri" w:cs="Times New Roman"/>
                <w:color w:val="000000"/>
                <w:sz w:val="24"/>
                <w:szCs w:val="24"/>
              </w:rPr>
              <w:t>Investment in Mutual Funds</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(9,691)</w:t>
            </w:r>
          </w:p>
        </w:tc>
        <w:tc>
          <w:tcPr>
            <w:tcW w:w="1918" w:type="dxa"/>
            <w:tcBorders>
              <w:top w:val="nil"/>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 </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noWrap/>
            <w:vAlign w:val="bottom"/>
            <w:hideMark/>
          </w:tcPr>
          <w:p w:rsidR="007C6DAE" w:rsidRPr="007C6DAE" w:rsidRDefault="007C6DAE" w:rsidP="007C6DAE">
            <w:pPr>
              <w:widowControl/>
              <w:jc w:val="right"/>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7C6DAE">
        <w:trPr>
          <w:trHeight w:val="945"/>
        </w:trPr>
        <w:tc>
          <w:tcPr>
            <w:tcW w:w="12298" w:type="dxa"/>
            <w:gridSpan w:val="10"/>
            <w:tcBorders>
              <w:top w:val="nil"/>
              <w:left w:val="nil"/>
              <w:bottom w:val="nil"/>
              <w:right w:val="nil"/>
            </w:tcBorders>
            <w:shd w:val="clear" w:color="auto" w:fill="auto"/>
            <w:vAlign w:val="center"/>
            <w:hideMark/>
          </w:tcPr>
          <w:p w:rsidR="007C6DAE" w:rsidRPr="007C6DAE" w:rsidRDefault="007C6DAE" w:rsidP="008C5C76">
            <w:pPr>
              <w:widowControl/>
              <w:ind w:left="612" w:right="31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b/>
                <w:bCs/>
                <w:color w:val="000000"/>
                <w:sz w:val="24"/>
                <w:szCs w:val="24"/>
              </w:rPr>
              <w:t xml:space="preserve"> Prepaid Expenses</w:t>
            </w:r>
            <w:r w:rsidRPr="007C6DAE">
              <w:rPr>
                <w:rFonts w:ascii="Calibri" w:eastAsia="Times New Roman" w:hAnsi="Calibri" w:cs="Times New Roman"/>
                <w:color w:val="000000"/>
                <w:sz w:val="24"/>
                <w:szCs w:val="24"/>
              </w:rPr>
              <w:t xml:space="preserve"> - At May 31, 2016, total prepaid expenses totaled $8,853 which consisted of General Insurance, Disability Insurance, Offsite Back-up Storage, Gift Cards, Deposits, Postage.</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7C6DAE">
        <w:trPr>
          <w:trHeight w:val="1050"/>
        </w:trPr>
        <w:tc>
          <w:tcPr>
            <w:tcW w:w="12298" w:type="dxa"/>
            <w:gridSpan w:val="10"/>
            <w:tcBorders>
              <w:top w:val="nil"/>
              <w:left w:val="nil"/>
              <w:bottom w:val="nil"/>
              <w:right w:val="nil"/>
            </w:tcBorders>
            <w:shd w:val="clear" w:color="auto" w:fill="auto"/>
            <w:hideMark/>
          </w:tcPr>
          <w:p w:rsidR="007C6DAE" w:rsidRPr="007C6DAE" w:rsidRDefault="007C6DAE" w:rsidP="008C5C76">
            <w:pPr>
              <w:widowControl/>
              <w:ind w:left="612" w:right="31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b/>
                <w:bCs/>
                <w:color w:val="000000"/>
                <w:sz w:val="24"/>
                <w:szCs w:val="24"/>
              </w:rPr>
              <w:t xml:space="preserve"> Equipment, Furniture &amp; Vehicles</w:t>
            </w:r>
            <w:r w:rsidRPr="007C6DAE">
              <w:rPr>
                <w:rFonts w:ascii="Calibri" w:eastAsia="Times New Roman" w:hAnsi="Calibri" w:cs="Times New Roman"/>
                <w:color w:val="000000"/>
                <w:sz w:val="24"/>
                <w:szCs w:val="24"/>
              </w:rPr>
              <w:t xml:space="preserve"> -Agency purchased the following capital equipment. Also, Jim Funk, Transportation Coordinator, looking on NYS contract with hopes of purchasing a new van to replace existing 2010 Dodge Caravan with 130K miles.</w:t>
            </w:r>
          </w:p>
        </w:tc>
        <w:tc>
          <w:tcPr>
            <w:tcW w:w="520" w:type="dxa"/>
            <w:tcBorders>
              <w:top w:val="nil"/>
              <w:left w:val="nil"/>
              <w:bottom w:val="nil"/>
              <w:right w:val="nil"/>
            </w:tcBorders>
            <w:shd w:val="clear" w:color="auto" w:fill="auto"/>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Month in Service</w:t>
            </w:r>
          </w:p>
        </w:tc>
        <w:tc>
          <w:tcPr>
            <w:tcW w:w="217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Funding Source</w:t>
            </w:r>
          </w:p>
        </w:tc>
        <w:tc>
          <w:tcPr>
            <w:tcW w:w="1874" w:type="dxa"/>
            <w:tcBorders>
              <w:top w:val="single" w:sz="4" w:space="0" w:color="auto"/>
              <w:left w:val="nil"/>
              <w:bottom w:val="single" w:sz="4" w:space="0" w:color="auto"/>
              <w:right w:val="single" w:sz="4" w:space="0" w:color="auto"/>
            </w:tcBorders>
            <w:shd w:val="clear" w:color="auto" w:fill="auto"/>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Supplier</w:t>
            </w:r>
          </w:p>
        </w:tc>
        <w:tc>
          <w:tcPr>
            <w:tcW w:w="3900" w:type="dxa"/>
            <w:gridSpan w:val="3"/>
            <w:tcBorders>
              <w:top w:val="single" w:sz="4" w:space="0" w:color="auto"/>
              <w:left w:val="nil"/>
              <w:bottom w:val="single" w:sz="4" w:space="0" w:color="auto"/>
              <w:right w:val="single" w:sz="4" w:space="0" w:color="auto"/>
            </w:tcBorders>
            <w:shd w:val="clear" w:color="auto" w:fill="auto"/>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Description</w:t>
            </w:r>
          </w:p>
        </w:tc>
        <w:tc>
          <w:tcPr>
            <w:tcW w:w="1918" w:type="dxa"/>
            <w:tcBorders>
              <w:top w:val="single" w:sz="4" w:space="0" w:color="auto"/>
              <w:left w:val="nil"/>
              <w:bottom w:val="single" w:sz="4" w:space="0" w:color="auto"/>
              <w:right w:val="single" w:sz="4" w:space="0" w:color="auto"/>
            </w:tcBorders>
            <w:shd w:val="clear" w:color="auto" w:fill="auto"/>
            <w:hideMark/>
          </w:tcPr>
          <w:p w:rsidR="007C6DAE" w:rsidRPr="007C6DAE" w:rsidRDefault="007C6DAE" w:rsidP="007C6DAE">
            <w:pPr>
              <w:widowControl/>
              <w:jc w:val="center"/>
              <w:rPr>
                <w:rFonts w:ascii="Calibri" w:eastAsia="Times New Roman" w:hAnsi="Calibri" w:cs="Times New Roman"/>
                <w:b/>
                <w:bCs/>
                <w:color w:val="000000"/>
              </w:rPr>
            </w:pPr>
            <w:r w:rsidRPr="007C6DAE">
              <w:rPr>
                <w:rFonts w:ascii="Calibri" w:eastAsia="Times New Roman" w:hAnsi="Calibri" w:cs="Times New Roman"/>
                <w:b/>
                <w:bCs/>
                <w:color w:val="000000"/>
              </w:rPr>
              <w:t>Cost</w:t>
            </w:r>
          </w:p>
        </w:tc>
        <w:tc>
          <w:tcPr>
            <w:tcW w:w="520" w:type="dxa"/>
            <w:tcBorders>
              <w:top w:val="nil"/>
              <w:left w:val="nil"/>
              <w:bottom w:val="nil"/>
              <w:right w:val="nil"/>
            </w:tcBorders>
            <w:shd w:val="clear" w:color="auto" w:fill="auto"/>
            <w:hideMark/>
          </w:tcPr>
          <w:p w:rsidR="007C6DAE" w:rsidRPr="007C6DAE" w:rsidRDefault="007C6DAE" w:rsidP="007C6DAE">
            <w:pPr>
              <w:widowControl/>
              <w:jc w:val="center"/>
              <w:rPr>
                <w:rFonts w:ascii="Calibri" w:eastAsia="Times New Roman" w:hAnsi="Calibri" w:cs="Times New Roman"/>
                <w:b/>
                <w:bCs/>
                <w:color w:val="000000"/>
              </w:rPr>
            </w:pPr>
          </w:p>
        </w:tc>
      </w:tr>
      <w:tr w:rsidR="007C6DAE" w:rsidRPr="007C6DAE" w:rsidTr="00825A26">
        <w:trPr>
          <w:trHeight w:val="6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0" w:type="dxa"/>
            <w:tcBorders>
              <w:top w:val="nil"/>
              <w:left w:val="single" w:sz="4" w:space="0" w:color="auto"/>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Apr-16</w:t>
            </w:r>
          </w:p>
        </w:tc>
        <w:tc>
          <w:tcPr>
            <w:tcW w:w="2176" w:type="dxa"/>
            <w:gridSpan w:val="2"/>
            <w:tcBorders>
              <w:top w:val="nil"/>
              <w:left w:val="nil"/>
              <w:bottom w:val="single" w:sz="4" w:space="0" w:color="auto"/>
              <w:right w:val="single" w:sz="4" w:space="0" w:color="auto"/>
            </w:tcBorders>
            <w:shd w:val="clear" w:color="auto" w:fill="auto"/>
            <w:noWrap/>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OFA: NY Connects</w:t>
            </w:r>
          </w:p>
        </w:tc>
        <w:tc>
          <w:tcPr>
            <w:tcW w:w="1874" w:type="dxa"/>
            <w:tcBorders>
              <w:top w:val="nil"/>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 Intelligent Tech Solutions </w:t>
            </w:r>
          </w:p>
        </w:tc>
        <w:tc>
          <w:tcPr>
            <w:tcW w:w="3900" w:type="dxa"/>
            <w:gridSpan w:val="3"/>
            <w:tcBorders>
              <w:top w:val="single" w:sz="4" w:space="0" w:color="auto"/>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Dell </w:t>
            </w:r>
            <w:proofErr w:type="spellStart"/>
            <w:r w:rsidRPr="007C6DAE">
              <w:rPr>
                <w:rFonts w:ascii="Calibri" w:eastAsia="Times New Roman" w:hAnsi="Calibri" w:cs="Times New Roman"/>
                <w:color w:val="000000"/>
              </w:rPr>
              <w:t>Optiplex</w:t>
            </w:r>
            <w:proofErr w:type="spellEnd"/>
            <w:r w:rsidRPr="007C6DAE">
              <w:rPr>
                <w:rFonts w:ascii="Calibri" w:eastAsia="Times New Roman" w:hAnsi="Calibri" w:cs="Times New Roman"/>
                <w:color w:val="000000"/>
              </w:rPr>
              <w:t xml:space="preserve"> 9030 Computer</w:t>
            </w:r>
          </w:p>
        </w:tc>
        <w:tc>
          <w:tcPr>
            <w:tcW w:w="1918" w:type="dxa"/>
            <w:tcBorders>
              <w:top w:val="nil"/>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                        1,343 </w:t>
            </w:r>
          </w:p>
        </w:tc>
        <w:tc>
          <w:tcPr>
            <w:tcW w:w="520" w:type="dxa"/>
            <w:tcBorders>
              <w:top w:val="nil"/>
              <w:left w:val="nil"/>
              <w:bottom w:val="nil"/>
              <w:right w:val="nil"/>
            </w:tcBorders>
            <w:shd w:val="clear" w:color="auto" w:fill="auto"/>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6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0" w:type="dxa"/>
            <w:tcBorders>
              <w:top w:val="nil"/>
              <w:left w:val="single" w:sz="4" w:space="0" w:color="auto"/>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Apr-16</w:t>
            </w:r>
          </w:p>
        </w:tc>
        <w:tc>
          <w:tcPr>
            <w:tcW w:w="2176" w:type="dxa"/>
            <w:gridSpan w:val="2"/>
            <w:tcBorders>
              <w:top w:val="nil"/>
              <w:left w:val="nil"/>
              <w:bottom w:val="single" w:sz="4" w:space="0" w:color="auto"/>
              <w:right w:val="single" w:sz="4" w:space="0" w:color="auto"/>
            </w:tcBorders>
            <w:shd w:val="clear" w:color="auto" w:fill="auto"/>
            <w:noWrap/>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OFA: NYC - EEP</w:t>
            </w:r>
          </w:p>
        </w:tc>
        <w:tc>
          <w:tcPr>
            <w:tcW w:w="1874" w:type="dxa"/>
            <w:tcBorders>
              <w:top w:val="nil"/>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 Intelligent Tech Solutions </w:t>
            </w:r>
          </w:p>
        </w:tc>
        <w:tc>
          <w:tcPr>
            <w:tcW w:w="3900" w:type="dxa"/>
            <w:gridSpan w:val="3"/>
            <w:tcBorders>
              <w:top w:val="single" w:sz="4" w:space="0" w:color="auto"/>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Dell </w:t>
            </w:r>
            <w:proofErr w:type="spellStart"/>
            <w:r w:rsidRPr="007C6DAE">
              <w:rPr>
                <w:rFonts w:ascii="Calibri" w:eastAsia="Times New Roman" w:hAnsi="Calibri" w:cs="Times New Roman"/>
                <w:color w:val="000000"/>
              </w:rPr>
              <w:t>Optiplex</w:t>
            </w:r>
            <w:proofErr w:type="spellEnd"/>
            <w:r w:rsidRPr="007C6DAE">
              <w:rPr>
                <w:rFonts w:ascii="Calibri" w:eastAsia="Times New Roman" w:hAnsi="Calibri" w:cs="Times New Roman"/>
                <w:color w:val="000000"/>
              </w:rPr>
              <w:t xml:space="preserve"> 9030 Computer</w:t>
            </w:r>
          </w:p>
        </w:tc>
        <w:tc>
          <w:tcPr>
            <w:tcW w:w="1918" w:type="dxa"/>
            <w:tcBorders>
              <w:top w:val="nil"/>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                            1,210 </w:t>
            </w:r>
          </w:p>
        </w:tc>
        <w:tc>
          <w:tcPr>
            <w:tcW w:w="520" w:type="dxa"/>
            <w:tcBorders>
              <w:top w:val="nil"/>
              <w:left w:val="nil"/>
              <w:bottom w:val="nil"/>
              <w:right w:val="nil"/>
            </w:tcBorders>
            <w:shd w:val="clear" w:color="auto" w:fill="auto"/>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9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0" w:type="dxa"/>
            <w:tcBorders>
              <w:top w:val="nil"/>
              <w:left w:val="single" w:sz="4" w:space="0" w:color="auto"/>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Jul-16</w:t>
            </w:r>
          </w:p>
        </w:tc>
        <w:tc>
          <w:tcPr>
            <w:tcW w:w="2176" w:type="dxa"/>
            <w:gridSpan w:val="2"/>
            <w:tcBorders>
              <w:top w:val="nil"/>
              <w:left w:val="nil"/>
              <w:bottom w:val="single" w:sz="4" w:space="0" w:color="auto"/>
              <w:right w:val="single" w:sz="4" w:space="0" w:color="auto"/>
            </w:tcBorders>
            <w:shd w:val="clear" w:color="auto" w:fill="auto"/>
            <w:noWrap/>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OFA: NYC - EEP</w:t>
            </w:r>
          </w:p>
        </w:tc>
        <w:tc>
          <w:tcPr>
            <w:tcW w:w="1874" w:type="dxa"/>
            <w:tcBorders>
              <w:top w:val="nil"/>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 Standard Commercial Interiors </w:t>
            </w:r>
          </w:p>
        </w:tc>
        <w:tc>
          <w:tcPr>
            <w:tcW w:w="3900" w:type="dxa"/>
            <w:gridSpan w:val="3"/>
            <w:tcBorders>
              <w:top w:val="single" w:sz="4" w:space="0" w:color="auto"/>
              <w:left w:val="nil"/>
              <w:bottom w:val="single" w:sz="4" w:space="0" w:color="auto"/>
              <w:right w:val="single" w:sz="4" w:space="0" w:color="000000"/>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Workstation/Desk</w:t>
            </w:r>
          </w:p>
        </w:tc>
        <w:tc>
          <w:tcPr>
            <w:tcW w:w="1918" w:type="dxa"/>
            <w:tcBorders>
              <w:top w:val="nil"/>
              <w:left w:val="nil"/>
              <w:bottom w:val="single" w:sz="4" w:space="0" w:color="auto"/>
              <w:right w:val="single" w:sz="4" w:space="0" w:color="auto"/>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r w:rsidRPr="007C6DAE">
              <w:rPr>
                <w:rFonts w:ascii="Calibri" w:eastAsia="Times New Roman" w:hAnsi="Calibri" w:cs="Times New Roman"/>
                <w:color w:val="000000"/>
              </w:rPr>
              <w:t xml:space="preserve">                            1,319 </w:t>
            </w:r>
          </w:p>
        </w:tc>
        <w:tc>
          <w:tcPr>
            <w:tcW w:w="520" w:type="dxa"/>
            <w:tcBorders>
              <w:top w:val="nil"/>
              <w:left w:val="nil"/>
              <w:bottom w:val="nil"/>
              <w:right w:val="nil"/>
            </w:tcBorders>
            <w:shd w:val="clear" w:color="auto" w:fill="auto"/>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00"/>
        </w:trPr>
        <w:tc>
          <w:tcPr>
            <w:tcW w:w="600"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0"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176"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hideMark/>
          </w:tcPr>
          <w:p w:rsidR="007C6DAE" w:rsidRPr="007C6DAE" w:rsidRDefault="007C6DAE" w:rsidP="007C6DAE">
            <w:pPr>
              <w:widowControl/>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hideMark/>
          </w:tcPr>
          <w:p w:rsidR="007C6DAE" w:rsidRPr="007C6DAE" w:rsidRDefault="007C6DAE" w:rsidP="007C6DAE">
            <w:pPr>
              <w:widowControl/>
              <w:jc w:val="right"/>
              <w:rPr>
                <w:rFonts w:ascii="Calibri" w:eastAsia="Times New Roman" w:hAnsi="Calibri" w:cs="Times New Roman"/>
                <w:color w:val="000000"/>
              </w:rPr>
            </w:pPr>
            <w:r w:rsidRPr="007C6DAE">
              <w:rPr>
                <w:rFonts w:ascii="Calibri" w:eastAsia="Times New Roman" w:hAnsi="Calibri" w:cs="Times New Roman"/>
                <w:color w:val="000000"/>
              </w:rPr>
              <w:t>Total</w:t>
            </w:r>
          </w:p>
        </w:tc>
        <w:tc>
          <w:tcPr>
            <w:tcW w:w="1918" w:type="dxa"/>
            <w:tcBorders>
              <w:top w:val="nil"/>
              <w:left w:val="single" w:sz="4" w:space="0" w:color="auto"/>
              <w:bottom w:val="single" w:sz="4" w:space="0" w:color="auto"/>
              <w:right w:val="single" w:sz="4" w:space="0" w:color="auto"/>
            </w:tcBorders>
            <w:shd w:val="clear" w:color="auto" w:fill="auto"/>
            <w:hideMark/>
          </w:tcPr>
          <w:p w:rsidR="007C6DAE" w:rsidRPr="007C6DAE" w:rsidRDefault="007C6DAE" w:rsidP="003E7E2D">
            <w:pPr>
              <w:widowControl/>
              <w:rPr>
                <w:rFonts w:ascii="Calibri" w:eastAsia="Times New Roman" w:hAnsi="Calibri" w:cs="Times New Roman"/>
                <w:color w:val="000000"/>
              </w:rPr>
            </w:pPr>
            <w:r w:rsidRPr="007C6DAE">
              <w:rPr>
                <w:rFonts w:ascii="Calibri" w:eastAsia="Times New Roman" w:hAnsi="Calibri" w:cs="Times New Roman"/>
                <w:color w:val="000000"/>
              </w:rPr>
              <w:t xml:space="preserve"> 3,872 </w:t>
            </w:r>
          </w:p>
        </w:tc>
        <w:tc>
          <w:tcPr>
            <w:tcW w:w="520" w:type="dxa"/>
            <w:tcBorders>
              <w:top w:val="nil"/>
              <w:left w:val="nil"/>
              <w:bottom w:val="nil"/>
              <w:right w:val="nil"/>
            </w:tcBorders>
            <w:shd w:val="clear" w:color="auto" w:fill="auto"/>
            <w:hideMark/>
          </w:tcPr>
          <w:p w:rsidR="007C6DAE" w:rsidRPr="007C6DAE" w:rsidRDefault="007C6DAE" w:rsidP="007C6DAE">
            <w:pPr>
              <w:widowControl/>
              <w:rPr>
                <w:rFonts w:ascii="Calibri" w:eastAsia="Times New Roman" w:hAnsi="Calibri" w:cs="Times New Roman"/>
                <w:color w:val="000000"/>
              </w:rPr>
            </w:pPr>
          </w:p>
        </w:tc>
      </w:tr>
      <w:tr w:rsidR="007C6DAE" w:rsidRPr="007C6DAE" w:rsidTr="007C6DAE">
        <w:trPr>
          <w:trHeight w:val="1035"/>
        </w:trPr>
        <w:tc>
          <w:tcPr>
            <w:tcW w:w="12298" w:type="dxa"/>
            <w:gridSpan w:val="10"/>
            <w:tcBorders>
              <w:top w:val="nil"/>
              <w:left w:val="nil"/>
              <w:bottom w:val="nil"/>
              <w:right w:val="nil"/>
            </w:tcBorders>
            <w:shd w:val="clear" w:color="auto" w:fill="auto"/>
            <w:hideMark/>
          </w:tcPr>
          <w:p w:rsidR="007C6DAE" w:rsidRPr="007C6DAE" w:rsidRDefault="007C6DAE" w:rsidP="008C5C76">
            <w:pPr>
              <w:widowControl/>
              <w:ind w:left="522" w:right="22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b/>
                <w:bCs/>
                <w:color w:val="000000"/>
                <w:sz w:val="24"/>
                <w:szCs w:val="24"/>
              </w:rPr>
              <w:t xml:space="preserve">Accounts Payable - </w:t>
            </w:r>
            <w:r w:rsidRPr="007C6DAE">
              <w:rPr>
                <w:rFonts w:ascii="Calibri" w:eastAsia="Times New Roman" w:hAnsi="Calibri" w:cs="Times New Roman"/>
                <w:color w:val="000000"/>
                <w:sz w:val="24"/>
                <w:szCs w:val="24"/>
              </w:rPr>
              <w:t xml:space="preserve">At May 31, 2016, accounts payable lability is $80,777 and all AP liability is being paid timely within 28 days except for CSP </w:t>
            </w:r>
            <w:proofErr w:type="spellStart"/>
            <w:r w:rsidRPr="007C6DAE">
              <w:rPr>
                <w:rFonts w:ascii="Calibri" w:eastAsia="Times New Roman" w:hAnsi="Calibri" w:cs="Times New Roman"/>
                <w:color w:val="000000"/>
                <w:sz w:val="24"/>
                <w:szCs w:val="24"/>
              </w:rPr>
              <w:t>Clincial</w:t>
            </w:r>
            <w:proofErr w:type="spellEnd"/>
            <w:r w:rsidRPr="007C6DAE">
              <w:rPr>
                <w:rFonts w:ascii="Calibri" w:eastAsia="Times New Roman" w:hAnsi="Calibri" w:cs="Times New Roman"/>
                <w:color w:val="000000"/>
                <w:sz w:val="24"/>
                <w:szCs w:val="24"/>
              </w:rPr>
              <w:t xml:space="preserve"> Services which gets paid once NYS pays CCCHC. The following is a list of vendors </w:t>
            </w:r>
            <w:proofErr w:type="gramStart"/>
            <w:r w:rsidRPr="007C6DAE">
              <w:rPr>
                <w:rFonts w:ascii="Calibri" w:eastAsia="Times New Roman" w:hAnsi="Calibri" w:cs="Times New Roman"/>
                <w:color w:val="000000"/>
                <w:sz w:val="24"/>
                <w:szCs w:val="24"/>
              </w:rPr>
              <w:t>who's</w:t>
            </w:r>
            <w:proofErr w:type="gramEnd"/>
            <w:r w:rsidRPr="007C6DAE">
              <w:rPr>
                <w:rFonts w:ascii="Calibri" w:eastAsia="Times New Roman" w:hAnsi="Calibri" w:cs="Times New Roman"/>
                <w:color w:val="000000"/>
                <w:sz w:val="24"/>
                <w:szCs w:val="24"/>
              </w:rPr>
              <w:t xml:space="preserve"> liability exceed $1,000. </w:t>
            </w:r>
          </w:p>
        </w:tc>
        <w:tc>
          <w:tcPr>
            <w:tcW w:w="520" w:type="dxa"/>
            <w:tcBorders>
              <w:top w:val="nil"/>
              <w:left w:val="nil"/>
              <w:bottom w:val="nil"/>
              <w:right w:val="nil"/>
            </w:tcBorders>
            <w:shd w:val="clear" w:color="auto" w:fill="auto"/>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American Lung Assoc.</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             43,000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Advertising-Tobacco</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proofErr w:type="spellStart"/>
            <w:r w:rsidRPr="00825A26">
              <w:rPr>
                <w:rFonts w:ascii="Times New Roman" w:eastAsia="Times New Roman" w:hAnsi="Times New Roman" w:cs="Times New Roman"/>
                <w:color w:val="000000"/>
                <w:sz w:val="20"/>
                <w:szCs w:val="24"/>
              </w:rPr>
              <w:t>iHeart</w:t>
            </w:r>
            <w:proofErr w:type="spellEnd"/>
            <w:r w:rsidRPr="00825A26">
              <w:rPr>
                <w:rFonts w:ascii="Times New Roman" w:eastAsia="Times New Roman" w:hAnsi="Times New Roman" w:cs="Times New Roman"/>
                <w:color w:val="000000"/>
                <w:sz w:val="20"/>
                <w:szCs w:val="24"/>
              </w:rPr>
              <w:t xml:space="preserve"> Media</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6,636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Advertising-Tobacco</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Columbia County </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1,717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 xml:space="preserve">Vehicle Fuel, Lease </w:t>
            </w:r>
            <w:proofErr w:type="spellStart"/>
            <w:r w:rsidRPr="00825A26">
              <w:rPr>
                <w:rFonts w:ascii="Calibri" w:eastAsia="Times New Roman" w:hAnsi="Calibri" w:cs="Times New Roman"/>
                <w:color w:val="000000"/>
                <w:sz w:val="20"/>
              </w:rPr>
              <w:t>Paymt</w:t>
            </w:r>
            <w:proofErr w:type="spellEnd"/>
            <w:r w:rsidRPr="00825A26">
              <w:rPr>
                <w:rFonts w:ascii="Calibri" w:eastAsia="Times New Roman" w:hAnsi="Calibri" w:cs="Times New Roman"/>
                <w:color w:val="000000"/>
                <w:sz w:val="20"/>
              </w:rPr>
              <w:t xml:space="preserve"> &amp; Repairs</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The </w:t>
            </w:r>
            <w:proofErr w:type="spellStart"/>
            <w:r w:rsidRPr="00825A26">
              <w:rPr>
                <w:rFonts w:ascii="Times New Roman" w:eastAsia="Times New Roman" w:hAnsi="Times New Roman" w:cs="Times New Roman"/>
                <w:color w:val="000000"/>
                <w:sz w:val="20"/>
                <w:szCs w:val="24"/>
              </w:rPr>
              <w:t>Chazen</w:t>
            </w:r>
            <w:proofErr w:type="spellEnd"/>
            <w:r w:rsidRPr="00825A26">
              <w:rPr>
                <w:rFonts w:ascii="Times New Roman" w:eastAsia="Times New Roman" w:hAnsi="Times New Roman" w:cs="Times New Roman"/>
                <w:color w:val="000000"/>
                <w:sz w:val="20"/>
                <w:szCs w:val="24"/>
              </w:rPr>
              <w:t xml:space="preserve"> Companies</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2,400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Tobacco-Cessation Mapping</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Pandora </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1,724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Radio Streaming-Tobacco</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WRIP FM 97.9 Radio</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2,656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Advertising-Tobacco</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TBOGC Visa Credit Card</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981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r w:rsidRPr="00825A26">
              <w:rPr>
                <w:rFonts w:ascii="Calibri" w:eastAsia="Times New Roman" w:hAnsi="Calibri" w:cs="Times New Roman"/>
                <w:color w:val="000000"/>
                <w:sz w:val="20"/>
              </w:rPr>
              <w:t>Various Credit Card Purchases</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Cancer Screening Providers</w:t>
            </w:r>
          </w:p>
        </w:tc>
        <w:tc>
          <w:tcPr>
            <w:tcW w:w="2062" w:type="dxa"/>
            <w:gridSpan w:val="2"/>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13,454 </w:t>
            </w:r>
          </w:p>
        </w:tc>
        <w:tc>
          <w:tcPr>
            <w:tcW w:w="3756" w:type="dxa"/>
            <w:gridSpan w:val="2"/>
            <w:tcBorders>
              <w:top w:val="nil"/>
              <w:left w:val="nil"/>
              <w:bottom w:val="nil"/>
              <w:right w:val="nil"/>
            </w:tcBorders>
            <w:shd w:val="clear" w:color="auto" w:fill="auto"/>
            <w:noWrap/>
            <w:vAlign w:val="bottom"/>
            <w:hideMark/>
          </w:tcPr>
          <w:p w:rsidR="007C6DAE" w:rsidRPr="00825A26" w:rsidRDefault="007C6DAE" w:rsidP="007C6DAE">
            <w:pPr>
              <w:widowControl/>
              <w:jc w:val="center"/>
              <w:rPr>
                <w:rFonts w:ascii="Calibri" w:eastAsia="Times New Roman" w:hAnsi="Calibri" w:cs="Times New Roman"/>
                <w:color w:val="000000"/>
                <w:sz w:val="20"/>
              </w:rPr>
            </w:pPr>
            <w:proofErr w:type="spellStart"/>
            <w:r w:rsidRPr="00825A26">
              <w:rPr>
                <w:rFonts w:ascii="Calibri" w:eastAsia="Times New Roman" w:hAnsi="Calibri" w:cs="Times New Roman"/>
                <w:color w:val="000000"/>
                <w:sz w:val="20"/>
              </w:rPr>
              <w:t>Clincial</w:t>
            </w:r>
            <w:proofErr w:type="spellEnd"/>
            <w:r w:rsidRPr="00825A26">
              <w:rPr>
                <w:rFonts w:ascii="Calibri" w:eastAsia="Times New Roman" w:hAnsi="Calibri" w:cs="Times New Roman"/>
                <w:color w:val="000000"/>
                <w:sz w:val="20"/>
              </w:rPr>
              <w:t xml:space="preserve"> </w:t>
            </w:r>
            <w:proofErr w:type="spellStart"/>
            <w:r w:rsidRPr="00825A26">
              <w:rPr>
                <w:rFonts w:ascii="Calibri" w:eastAsia="Times New Roman" w:hAnsi="Calibri" w:cs="Times New Roman"/>
                <w:color w:val="000000"/>
                <w:sz w:val="20"/>
              </w:rPr>
              <w:t>Serices</w:t>
            </w:r>
            <w:proofErr w:type="spellEnd"/>
            <w:r w:rsidRPr="00825A26">
              <w:rPr>
                <w:rFonts w:ascii="Calibri" w:eastAsia="Times New Roman" w:hAnsi="Calibri" w:cs="Times New Roman"/>
                <w:color w:val="000000"/>
                <w:sz w:val="20"/>
              </w:rPr>
              <w:t>-March, April &amp; May</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Calibri" w:eastAsia="Times New Roman" w:hAnsi="Calibri" w:cs="Times New Roman"/>
                <w:color w:val="00000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bottom"/>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3E7E2D" w:rsidRDefault="007C6DAE" w:rsidP="007C6DAE">
            <w:pPr>
              <w:widowControl/>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vAlign w:val="center"/>
            <w:hideMark/>
          </w:tcPr>
          <w:p w:rsidR="007C6DAE" w:rsidRPr="003E7E2D" w:rsidRDefault="007C6DAE" w:rsidP="007C6DAE">
            <w:pPr>
              <w:widowControl/>
              <w:jc w:val="center"/>
              <w:rPr>
                <w:rFonts w:ascii="Times New Roman" w:eastAsia="Times New Roman" w:hAnsi="Times New Roman" w:cs="Times New Roman"/>
                <w:sz w:val="20"/>
                <w:szCs w:val="20"/>
              </w:rPr>
            </w:pPr>
          </w:p>
        </w:tc>
        <w:tc>
          <w:tcPr>
            <w:tcW w:w="3756" w:type="dxa"/>
            <w:gridSpan w:val="2"/>
            <w:tcBorders>
              <w:top w:val="nil"/>
              <w:left w:val="nil"/>
              <w:bottom w:val="nil"/>
              <w:right w:val="nil"/>
            </w:tcBorders>
            <w:shd w:val="clear" w:color="auto" w:fill="auto"/>
            <w:noWrap/>
            <w:vAlign w:val="bottom"/>
            <w:hideMark/>
          </w:tcPr>
          <w:p w:rsidR="007C6DAE" w:rsidRPr="003E7E2D"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r>
      <w:tr w:rsidR="007C6DAE" w:rsidRPr="007C6DAE" w:rsidTr="00825A26">
        <w:trPr>
          <w:trHeight w:val="330"/>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3796" w:type="dxa"/>
            <w:gridSpan w:val="2"/>
            <w:tcBorders>
              <w:top w:val="nil"/>
              <w:left w:val="nil"/>
              <w:bottom w:val="nil"/>
              <w:right w:val="nil"/>
            </w:tcBorders>
            <w:shd w:val="clear" w:color="auto" w:fill="auto"/>
            <w:vAlign w:val="center"/>
            <w:hideMark/>
          </w:tcPr>
          <w:p w:rsidR="007C6DAE" w:rsidRPr="00825A26" w:rsidRDefault="007C6DAE" w:rsidP="007C6DAE">
            <w:pPr>
              <w:widowControl/>
              <w:jc w:val="center"/>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Total AP from Above </w:t>
            </w:r>
          </w:p>
        </w:tc>
        <w:tc>
          <w:tcPr>
            <w:tcW w:w="2062" w:type="dxa"/>
            <w:gridSpan w:val="2"/>
            <w:tcBorders>
              <w:top w:val="single" w:sz="4" w:space="0" w:color="auto"/>
              <w:left w:val="nil"/>
              <w:bottom w:val="double" w:sz="6" w:space="0" w:color="auto"/>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r w:rsidRPr="00825A26">
              <w:rPr>
                <w:rFonts w:ascii="Times New Roman" w:eastAsia="Times New Roman" w:hAnsi="Times New Roman" w:cs="Times New Roman"/>
                <w:color w:val="000000"/>
                <w:sz w:val="20"/>
                <w:szCs w:val="24"/>
              </w:rPr>
              <w:t xml:space="preserve"> $             72,568 </w:t>
            </w:r>
          </w:p>
        </w:tc>
        <w:tc>
          <w:tcPr>
            <w:tcW w:w="1838" w:type="dxa"/>
            <w:tcBorders>
              <w:top w:val="nil"/>
              <w:left w:val="nil"/>
              <w:bottom w:val="nil"/>
              <w:right w:val="nil"/>
            </w:tcBorders>
            <w:shd w:val="clear" w:color="auto" w:fill="auto"/>
            <w:vAlign w:val="center"/>
            <w:hideMark/>
          </w:tcPr>
          <w:p w:rsidR="007C6DAE" w:rsidRPr="00825A26" w:rsidRDefault="007C6DAE" w:rsidP="007C6DAE">
            <w:pPr>
              <w:widowControl/>
              <w:rPr>
                <w:rFonts w:ascii="Times New Roman" w:eastAsia="Times New Roman" w:hAnsi="Times New Roman" w:cs="Times New Roman"/>
                <w:color w:val="000000"/>
                <w:sz w:val="20"/>
                <w:szCs w:val="24"/>
              </w:rPr>
            </w:pP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825A26">
        <w:trPr>
          <w:trHeight w:val="330"/>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vAlign w:val="center"/>
            <w:hideMark/>
          </w:tcPr>
          <w:p w:rsidR="007C6DAE" w:rsidRPr="003E7E2D" w:rsidRDefault="007C6DAE" w:rsidP="007C6DAE">
            <w:pPr>
              <w:widowControl/>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vAlign w:val="center"/>
            <w:hideMark/>
          </w:tcPr>
          <w:p w:rsidR="007C6DAE" w:rsidRPr="003E7E2D" w:rsidRDefault="007C6DAE" w:rsidP="007C6DAE">
            <w:pPr>
              <w:widowControl/>
              <w:jc w:val="center"/>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vAlign w:val="center"/>
            <w:hideMark/>
          </w:tcPr>
          <w:p w:rsidR="007C6DAE" w:rsidRPr="003E7E2D" w:rsidRDefault="007C6DAE" w:rsidP="007C6DAE">
            <w:pPr>
              <w:widowControl/>
              <w:jc w:val="center"/>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vAlign w:val="center"/>
            <w:hideMark/>
          </w:tcPr>
          <w:p w:rsidR="007C6DAE" w:rsidRPr="003E7E2D" w:rsidRDefault="007C6DAE" w:rsidP="007C6DAE">
            <w:pPr>
              <w:widowControl/>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7C6DAE">
        <w:trPr>
          <w:trHeight w:val="2265"/>
        </w:trPr>
        <w:tc>
          <w:tcPr>
            <w:tcW w:w="12298" w:type="dxa"/>
            <w:gridSpan w:val="10"/>
            <w:tcBorders>
              <w:top w:val="nil"/>
              <w:left w:val="nil"/>
              <w:bottom w:val="nil"/>
              <w:right w:val="nil"/>
            </w:tcBorders>
            <w:shd w:val="clear" w:color="auto" w:fill="auto"/>
            <w:vAlign w:val="bottom"/>
            <w:hideMark/>
          </w:tcPr>
          <w:p w:rsidR="007C6DAE" w:rsidRPr="007C6DAE" w:rsidRDefault="007C6DAE" w:rsidP="008C5C76">
            <w:pPr>
              <w:widowControl/>
              <w:ind w:left="612" w:right="49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color w:val="000000"/>
                <w:sz w:val="24"/>
                <w:szCs w:val="24"/>
              </w:rPr>
              <w:t xml:space="preserve"> </w:t>
            </w:r>
            <w:r w:rsidRPr="007C6DAE">
              <w:rPr>
                <w:rFonts w:ascii="Calibri" w:eastAsia="Times New Roman" w:hAnsi="Calibri" w:cs="Times New Roman"/>
                <w:b/>
                <w:bCs/>
                <w:color w:val="000000"/>
                <w:sz w:val="24"/>
                <w:szCs w:val="24"/>
              </w:rPr>
              <w:t>Advance Funding Payable</w:t>
            </w:r>
            <w:r w:rsidRPr="007C6DAE">
              <w:rPr>
                <w:rFonts w:ascii="Calibri" w:eastAsia="Times New Roman" w:hAnsi="Calibri" w:cs="Times New Roman"/>
                <w:color w:val="000000"/>
                <w:sz w:val="24"/>
                <w:szCs w:val="24"/>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May 31, 2016,</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825A26">
        <w:trPr>
          <w:trHeight w:val="94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Program Name</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Beginning Balance at January 1st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Contributions</w:t>
            </w: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&lt;Recognize Revenue&gt;</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Ending Balance at May 31, 2016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Foundation for Community Health</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ind w:firstLineChars="200" w:firstLine="480"/>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Prescription Rx Access</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10,445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7,125 </w:t>
            </w: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(2,354)</w:t>
            </w: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15,216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ind w:firstLineChars="200" w:firstLine="480"/>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Transportation: </w:t>
            </w:r>
            <w:proofErr w:type="spellStart"/>
            <w:r w:rsidRPr="007C6DAE">
              <w:rPr>
                <w:rFonts w:ascii="Times New Roman" w:eastAsia="Times New Roman" w:hAnsi="Times New Roman" w:cs="Times New Roman"/>
                <w:color w:val="000000"/>
                <w:sz w:val="24"/>
                <w:szCs w:val="24"/>
              </w:rPr>
              <w:t>Acram</w:t>
            </w:r>
            <w:proofErr w:type="spellEnd"/>
            <w:r w:rsidRPr="007C6DAE">
              <w:rPr>
                <w:rFonts w:ascii="Times New Roman" w:eastAsia="Times New Roman" w:hAnsi="Times New Roman" w:cs="Times New Roman"/>
                <w:color w:val="000000"/>
                <w:sz w:val="24"/>
                <w:szCs w:val="24"/>
              </w:rPr>
              <w:t>/Copake</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25,000 </w:t>
            </w: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(10,259)</w:t>
            </w: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14,741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ind w:firstLineChars="200" w:firstLine="480"/>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Children's Mental Health Project</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20,238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(533)</w:t>
            </w: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19,705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Dyson Foundation</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rPr>
                <w:rFonts w:ascii="Times New Roman" w:eastAsia="Times New Roman" w:hAnsi="Times New Roman" w:cs="Times New Roman"/>
                <w:b/>
                <w:bCs/>
                <w:color w:val="000000"/>
                <w:sz w:val="24"/>
                <w:szCs w:val="24"/>
              </w:rPr>
            </w:pP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ind w:firstLineChars="200" w:firstLine="480"/>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Prescription Rx Access</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25,000 </w:t>
            </w: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(10,966)</w:t>
            </w: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14,034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NYS Grant Advances</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rPr>
                <w:rFonts w:ascii="Times New Roman" w:eastAsia="Times New Roman" w:hAnsi="Times New Roman" w:cs="Times New Roman"/>
                <w:b/>
                <w:bCs/>
                <w:color w:val="000000"/>
                <w:sz w:val="24"/>
                <w:szCs w:val="24"/>
              </w:rPr>
            </w:pP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ind w:firstLineChars="200" w:firstLine="480"/>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Cancer Services Program</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5,060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35,000 </w:t>
            </w: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(11,492)</w:t>
            </w: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28,568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ind w:firstLineChars="200" w:firstLine="480"/>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Tobacco Free Program</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40,565 </w:t>
            </w: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(40,565)</w:t>
            </w: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0"/>
                <w:szCs w:val="20"/>
              </w:rPr>
            </w:pPr>
            <w:r w:rsidRPr="007C6DAE">
              <w:rPr>
                <w:rFonts w:ascii="Times New Roman" w:eastAsia="Times New Roman" w:hAnsi="Times New Roman" w:cs="Times New Roman"/>
                <w:color w:val="000000"/>
                <w:sz w:val="20"/>
                <w:szCs w:val="20"/>
              </w:rPr>
              <w:t>Health &amp; Recovery Plan (HCBS-HARP)</w:t>
            </w:r>
          </w:p>
        </w:tc>
        <w:tc>
          <w:tcPr>
            <w:tcW w:w="1874"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0"/>
                <w:szCs w:val="20"/>
              </w:rPr>
            </w:pPr>
          </w:p>
        </w:tc>
        <w:tc>
          <w:tcPr>
            <w:tcW w:w="2062" w:type="dxa"/>
            <w:gridSpan w:val="2"/>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49,850 </w:t>
            </w:r>
          </w:p>
        </w:tc>
        <w:tc>
          <w:tcPr>
            <w:tcW w:w="183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p>
        </w:tc>
        <w:tc>
          <w:tcPr>
            <w:tcW w:w="1918" w:type="dxa"/>
            <w:tcBorders>
              <w:top w:val="nil"/>
              <w:left w:val="nil"/>
              <w:bottom w:val="nil"/>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49,850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3E7E2D">
            <w:pPr>
              <w:widowControl/>
              <w:jc w:val="right"/>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Total Advance Funding Payable</w:t>
            </w:r>
          </w:p>
        </w:tc>
        <w:tc>
          <w:tcPr>
            <w:tcW w:w="1874" w:type="dxa"/>
            <w:tcBorders>
              <w:top w:val="single" w:sz="4" w:space="0" w:color="auto"/>
              <w:left w:val="nil"/>
              <w:bottom w:val="double" w:sz="6" w:space="0" w:color="auto"/>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76,308 </w:t>
            </w:r>
          </w:p>
        </w:tc>
        <w:tc>
          <w:tcPr>
            <w:tcW w:w="2062" w:type="dxa"/>
            <w:gridSpan w:val="2"/>
            <w:tcBorders>
              <w:top w:val="single" w:sz="4" w:space="0" w:color="auto"/>
              <w:left w:val="nil"/>
              <w:bottom w:val="double" w:sz="6" w:space="0" w:color="auto"/>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141,975 </w:t>
            </w:r>
          </w:p>
        </w:tc>
        <w:tc>
          <w:tcPr>
            <w:tcW w:w="1838" w:type="dxa"/>
            <w:tcBorders>
              <w:top w:val="single" w:sz="4" w:space="0" w:color="auto"/>
              <w:left w:val="nil"/>
              <w:bottom w:val="double" w:sz="6" w:space="0" w:color="auto"/>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(76,170)</w:t>
            </w:r>
          </w:p>
        </w:tc>
        <w:tc>
          <w:tcPr>
            <w:tcW w:w="1918" w:type="dxa"/>
            <w:tcBorders>
              <w:top w:val="single" w:sz="4" w:space="0" w:color="auto"/>
              <w:left w:val="nil"/>
              <w:bottom w:val="double" w:sz="6" w:space="0" w:color="auto"/>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142,113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7C6DAE">
        <w:trPr>
          <w:trHeight w:val="1530"/>
        </w:trPr>
        <w:tc>
          <w:tcPr>
            <w:tcW w:w="12298" w:type="dxa"/>
            <w:gridSpan w:val="10"/>
            <w:tcBorders>
              <w:top w:val="nil"/>
              <w:left w:val="nil"/>
              <w:bottom w:val="nil"/>
              <w:right w:val="nil"/>
            </w:tcBorders>
            <w:shd w:val="clear" w:color="auto" w:fill="auto"/>
            <w:vAlign w:val="bottom"/>
            <w:hideMark/>
          </w:tcPr>
          <w:p w:rsidR="007C6DAE" w:rsidRPr="007C6DAE" w:rsidRDefault="007C6DAE" w:rsidP="008C5C76">
            <w:pPr>
              <w:widowControl/>
              <w:ind w:left="612" w:right="40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color w:val="000000"/>
                <w:sz w:val="24"/>
                <w:szCs w:val="24"/>
              </w:rPr>
              <w:t xml:space="preserve"> </w:t>
            </w:r>
            <w:r w:rsidRPr="007C6DAE">
              <w:rPr>
                <w:rFonts w:ascii="Calibri" w:eastAsia="Times New Roman" w:hAnsi="Calibri" w:cs="Times New Roman"/>
                <w:b/>
                <w:bCs/>
                <w:color w:val="000000"/>
                <w:sz w:val="24"/>
                <w:szCs w:val="24"/>
              </w:rPr>
              <w:t>Temporary Restricted Net Assets</w:t>
            </w:r>
            <w:r w:rsidRPr="007C6DAE">
              <w:rPr>
                <w:rFonts w:ascii="Calibri" w:eastAsia="Times New Roman" w:hAnsi="Calibri" w:cs="Times New Roman"/>
                <w:color w:val="000000"/>
                <w:sz w:val="24"/>
                <w:szCs w:val="24"/>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May 31, 2016: </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825A26">
        <w:trPr>
          <w:trHeight w:val="1260"/>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Program Name</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Beginning Balance at January 1st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Contributions</w:t>
            </w: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&lt;Assets Released from Temporary Restrictions&gt;</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 xml:space="preserve">Ending Balance at May 31, 2016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b/>
                <w:bCs/>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Columbia County</w:t>
            </w:r>
            <w:r w:rsidRPr="007C6DAE">
              <w:rPr>
                <w:rFonts w:ascii="Times New Roman" w:eastAsia="Times New Roman" w:hAnsi="Times New Roman" w:cs="Times New Roman"/>
                <w:color w:val="000000"/>
              </w:rPr>
              <w:t xml:space="preserve"> -</w:t>
            </w:r>
            <w:r w:rsidRPr="007C6DAE">
              <w:rPr>
                <w:rFonts w:ascii="Times New Roman" w:eastAsia="Times New Roman" w:hAnsi="Times New Roman" w:cs="Times New Roman"/>
                <w:color w:val="000000"/>
                <w:sz w:val="18"/>
                <w:szCs w:val="18"/>
              </w:rPr>
              <w:t>CARTS &amp; Receptionist</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49,000 </w:t>
            </w: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(20,417)</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28,583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Columbia County Depts.-CARTS</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19,000 </w:t>
            </w: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(7,917)</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11,083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Columbia County Cancer Fund</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11,831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520 </w:t>
            </w: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(4,881)</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7,470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Greene County Cancer Fund</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8,690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50 </w:t>
            </w: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(1,507)</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7,233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Complementary Therapies</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6,955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(750)</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6,205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Jan Koweek Fund</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901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901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rPr>
                <w:rFonts w:ascii="Times New Roman" w:eastAsia="Times New Roman" w:hAnsi="Times New Roman" w:cs="Times New Roman"/>
                <w:color w:val="000000"/>
              </w:rPr>
            </w:pPr>
            <w:r w:rsidRPr="007C6DAE">
              <w:rPr>
                <w:rFonts w:ascii="Times New Roman" w:eastAsia="Times New Roman" w:hAnsi="Times New Roman" w:cs="Times New Roman"/>
                <w:color w:val="000000"/>
              </w:rPr>
              <w:t>Galvan Foundation-Bengali Community</w:t>
            </w: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10,470 </w:t>
            </w: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(1,490)</w:t>
            </w: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8,980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31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vAlign w:val="center"/>
            <w:hideMark/>
          </w:tcPr>
          <w:p w:rsidR="007C6DAE" w:rsidRPr="007C6DAE" w:rsidRDefault="007C6DAE" w:rsidP="007C6DAE">
            <w:pPr>
              <w:widowControl/>
              <w:jc w:val="right"/>
              <w:rPr>
                <w:rFonts w:ascii="Times New Roman" w:eastAsia="Times New Roman" w:hAnsi="Times New Roman" w:cs="Times New Roman"/>
                <w:b/>
                <w:bCs/>
                <w:color w:val="000000"/>
                <w:sz w:val="24"/>
                <w:szCs w:val="24"/>
              </w:rPr>
            </w:pPr>
            <w:r w:rsidRPr="007C6DAE">
              <w:rPr>
                <w:rFonts w:ascii="Times New Roman" w:eastAsia="Times New Roman" w:hAnsi="Times New Roman" w:cs="Times New Roman"/>
                <w:b/>
                <w:bCs/>
                <w:color w:val="000000"/>
                <w:sz w:val="24"/>
                <w:szCs w:val="24"/>
              </w:rPr>
              <w:t>Totals of Temporary Restricted Funds</w:t>
            </w:r>
          </w:p>
        </w:tc>
        <w:tc>
          <w:tcPr>
            <w:tcW w:w="1874" w:type="dxa"/>
            <w:tcBorders>
              <w:top w:val="single" w:sz="4" w:space="0" w:color="auto"/>
              <w:left w:val="nil"/>
              <w:bottom w:val="double" w:sz="6" w:space="0" w:color="auto"/>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38,847 </w:t>
            </w:r>
          </w:p>
        </w:tc>
        <w:tc>
          <w:tcPr>
            <w:tcW w:w="2062" w:type="dxa"/>
            <w:gridSpan w:val="2"/>
            <w:tcBorders>
              <w:top w:val="single" w:sz="4" w:space="0" w:color="auto"/>
              <w:left w:val="nil"/>
              <w:bottom w:val="double" w:sz="6" w:space="0" w:color="auto"/>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68,570 </w:t>
            </w:r>
          </w:p>
        </w:tc>
        <w:tc>
          <w:tcPr>
            <w:tcW w:w="1838" w:type="dxa"/>
            <w:tcBorders>
              <w:top w:val="single" w:sz="4" w:space="0" w:color="auto"/>
              <w:left w:val="nil"/>
              <w:bottom w:val="double" w:sz="6" w:space="0" w:color="auto"/>
              <w:right w:val="nil"/>
            </w:tcBorders>
            <w:shd w:val="clear" w:color="auto" w:fill="auto"/>
            <w:vAlign w:val="center"/>
            <w:hideMark/>
          </w:tcPr>
          <w:p w:rsidR="007C6DAE" w:rsidRPr="007C6DAE" w:rsidRDefault="007C6DAE" w:rsidP="003E7E2D">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(36,961)</w:t>
            </w:r>
          </w:p>
        </w:tc>
        <w:tc>
          <w:tcPr>
            <w:tcW w:w="1918" w:type="dxa"/>
            <w:tcBorders>
              <w:top w:val="single" w:sz="4" w:space="0" w:color="auto"/>
              <w:left w:val="nil"/>
              <w:bottom w:val="double" w:sz="6" w:space="0" w:color="auto"/>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r w:rsidRPr="007C6DAE">
              <w:rPr>
                <w:rFonts w:ascii="Times New Roman" w:eastAsia="Times New Roman" w:hAnsi="Times New Roman" w:cs="Times New Roman"/>
                <w:color w:val="000000"/>
                <w:sz w:val="24"/>
                <w:szCs w:val="24"/>
              </w:rPr>
              <w:t xml:space="preserve"> $              70,455 </w:t>
            </w: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color w:val="000000"/>
                <w:sz w:val="24"/>
                <w:szCs w:val="24"/>
              </w:rPr>
            </w:pPr>
          </w:p>
        </w:tc>
      </w:tr>
      <w:tr w:rsidR="007C6DAE" w:rsidRPr="007C6DAE" w:rsidTr="00825A26">
        <w:trPr>
          <w:trHeight w:val="135"/>
        </w:trPr>
        <w:tc>
          <w:tcPr>
            <w:tcW w:w="600"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1922" w:type="dxa"/>
            <w:tcBorders>
              <w:top w:val="nil"/>
              <w:left w:val="nil"/>
              <w:bottom w:val="nil"/>
              <w:right w:val="nil"/>
            </w:tcBorders>
            <w:shd w:val="clear" w:color="auto" w:fill="auto"/>
            <w:vAlign w:val="center"/>
            <w:hideMark/>
          </w:tcPr>
          <w:p w:rsidR="007C6DAE" w:rsidRPr="007C6DAE" w:rsidRDefault="007C6DAE" w:rsidP="007C6DAE">
            <w:pPr>
              <w:widowControl/>
              <w:jc w:val="right"/>
              <w:rPr>
                <w:rFonts w:ascii="Times New Roman" w:eastAsia="Times New Roman" w:hAnsi="Times New Roman" w:cs="Times New Roman"/>
                <w:sz w:val="20"/>
                <w:szCs w:val="20"/>
              </w:rPr>
            </w:pPr>
          </w:p>
        </w:tc>
        <w:tc>
          <w:tcPr>
            <w:tcW w:w="1874" w:type="dxa"/>
            <w:tcBorders>
              <w:top w:val="nil"/>
              <w:left w:val="nil"/>
              <w:bottom w:val="nil"/>
              <w:right w:val="nil"/>
            </w:tcBorders>
            <w:shd w:val="clear" w:color="auto" w:fill="auto"/>
            <w:vAlign w:val="center"/>
            <w:hideMark/>
          </w:tcPr>
          <w:p w:rsidR="007C6DAE" w:rsidRPr="007C6DAE" w:rsidRDefault="007C6DAE" w:rsidP="007C6DAE">
            <w:pPr>
              <w:widowControl/>
              <w:jc w:val="right"/>
              <w:rPr>
                <w:rFonts w:ascii="Times New Roman" w:eastAsia="Times New Roman" w:hAnsi="Times New Roman" w:cs="Times New Roman"/>
                <w:sz w:val="20"/>
                <w:szCs w:val="20"/>
              </w:rPr>
            </w:pPr>
          </w:p>
        </w:tc>
        <w:tc>
          <w:tcPr>
            <w:tcW w:w="2062" w:type="dxa"/>
            <w:gridSpan w:val="2"/>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183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r>
      <w:tr w:rsidR="007C6DAE" w:rsidRPr="007C6DAE" w:rsidTr="007C6DAE">
        <w:trPr>
          <w:trHeight w:val="750"/>
        </w:trPr>
        <w:tc>
          <w:tcPr>
            <w:tcW w:w="12298" w:type="dxa"/>
            <w:gridSpan w:val="10"/>
            <w:tcBorders>
              <w:top w:val="nil"/>
              <w:left w:val="nil"/>
              <w:bottom w:val="nil"/>
              <w:right w:val="nil"/>
            </w:tcBorders>
            <w:shd w:val="clear" w:color="auto" w:fill="auto"/>
            <w:vAlign w:val="bottom"/>
            <w:hideMark/>
          </w:tcPr>
          <w:p w:rsidR="007C6DAE" w:rsidRPr="007C6DAE" w:rsidRDefault="007C6DAE" w:rsidP="008C5C76">
            <w:pPr>
              <w:widowControl/>
              <w:ind w:left="612" w:right="400"/>
              <w:rPr>
                <w:rFonts w:ascii="Wingdings" w:eastAsia="Times New Roman" w:hAnsi="Wingdings" w:cs="Times New Roman"/>
                <w:color w:val="000000"/>
                <w:sz w:val="24"/>
                <w:szCs w:val="24"/>
              </w:rPr>
            </w:pPr>
            <w:r w:rsidRPr="007C6DAE">
              <w:rPr>
                <w:rFonts w:ascii="Wingdings" w:eastAsia="Times New Roman" w:hAnsi="Wingdings" w:cs="Times New Roman"/>
                <w:color w:val="000000"/>
                <w:sz w:val="24"/>
                <w:szCs w:val="24"/>
              </w:rPr>
              <w:t></w:t>
            </w:r>
            <w:r w:rsidRPr="007C6DAE">
              <w:rPr>
                <w:rFonts w:ascii="Times New Roman" w:eastAsia="Times New Roman" w:hAnsi="Times New Roman" w:cs="Times New Roman"/>
                <w:color w:val="000000"/>
                <w:sz w:val="24"/>
                <w:szCs w:val="24"/>
              </w:rPr>
              <w:t xml:space="preserve"> </w:t>
            </w:r>
            <w:r w:rsidRPr="007C6DAE">
              <w:rPr>
                <w:rFonts w:ascii="Times New Roman" w:eastAsia="Times New Roman" w:hAnsi="Times New Roman" w:cs="Times New Roman"/>
                <w:b/>
                <w:bCs/>
                <w:color w:val="000000"/>
                <w:sz w:val="24"/>
                <w:szCs w:val="24"/>
              </w:rPr>
              <w:t>Change in Unrestricted Net Assets</w:t>
            </w:r>
            <w:r w:rsidRPr="007C6DAE">
              <w:rPr>
                <w:rFonts w:ascii="Calibri" w:eastAsia="Times New Roman" w:hAnsi="Calibri" w:cs="Times New Roman"/>
                <w:color w:val="000000"/>
                <w:sz w:val="24"/>
                <w:szCs w:val="24"/>
              </w:rPr>
              <w:t xml:space="preserve"> - For the five months ending May 31, 2016, increase of $13,966 (or Total Revenue of $704,111 less Total Expenses of $690,145).</w:t>
            </w:r>
          </w:p>
        </w:tc>
        <w:tc>
          <w:tcPr>
            <w:tcW w:w="520" w:type="dxa"/>
            <w:tcBorders>
              <w:top w:val="nil"/>
              <w:left w:val="nil"/>
              <w:bottom w:val="nil"/>
              <w:right w:val="nil"/>
            </w:tcBorders>
            <w:shd w:val="clear" w:color="auto" w:fill="auto"/>
            <w:vAlign w:val="bottom"/>
            <w:hideMark/>
          </w:tcPr>
          <w:p w:rsidR="007C6DAE" w:rsidRPr="007C6DAE" w:rsidRDefault="007C6DAE" w:rsidP="007C6DAE">
            <w:pPr>
              <w:widowControl/>
              <w:rPr>
                <w:rFonts w:ascii="Wingdings" w:eastAsia="Times New Roman" w:hAnsi="Wingdings" w:cs="Times New Roman"/>
                <w:color w:val="000000"/>
                <w:sz w:val="24"/>
                <w:szCs w:val="24"/>
              </w:rPr>
            </w:pPr>
          </w:p>
        </w:tc>
      </w:tr>
      <w:tr w:rsidR="007C6DAE" w:rsidRPr="007C6DAE" w:rsidTr="007C6DAE">
        <w:trPr>
          <w:trHeight w:val="525"/>
        </w:trPr>
        <w:tc>
          <w:tcPr>
            <w:tcW w:w="12818" w:type="dxa"/>
            <w:gridSpan w:val="11"/>
            <w:tcBorders>
              <w:top w:val="nil"/>
              <w:left w:val="nil"/>
              <w:bottom w:val="nil"/>
              <w:right w:val="nil"/>
            </w:tcBorders>
            <w:shd w:val="clear" w:color="auto" w:fill="auto"/>
            <w:vAlign w:val="bottom"/>
            <w:hideMark/>
          </w:tcPr>
          <w:p w:rsidR="007C6DAE" w:rsidRPr="007C6DAE" w:rsidRDefault="007C6DAE" w:rsidP="007C6DAE">
            <w:pPr>
              <w:widowControl/>
              <w:jc w:val="center"/>
              <w:rPr>
                <w:rFonts w:ascii="Wide Latin" w:eastAsia="Times New Roman" w:hAnsi="Wide Latin" w:cs="Times New Roman"/>
                <w:color w:val="000000"/>
                <w:sz w:val="24"/>
                <w:szCs w:val="24"/>
              </w:rPr>
            </w:pPr>
            <w:r w:rsidRPr="007C6DAE">
              <w:rPr>
                <w:rFonts w:ascii="Wide Latin" w:eastAsia="Times New Roman" w:hAnsi="Wide Latin" w:cs="Times New Roman"/>
                <w:color w:val="000000"/>
                <w:sz w:val="24"/>
                <w:szCs w:val="24"/>
              </w:rPr>
              <w:t>Statement of Activities</w:t>
            </w:r>
          </w:p>
        </w:tc>
      </w:tr>
      <w:tr w:rsidR="007C6DAE" w:rsidRPr="007C6DAE" w:rsidTr="00825A26">
        <w:trPr>
          <w:trHeight w:val="390"/>
        </w:trPr>
        <w:tc>
          <w:tcPr>
            <w:tcW w:w="4606" w:type="dxa"/>
            <w:gridSpan w:val="5"/>
            <w:tcBorders>
              <w:top w:val="nil"/>
              <w:left w:val="nil"/>
              <w:bottom w:val="single" w:sz="8" w:space="0" w:color="auto"/>
              <w:right w:val="nil"/>
            </w:tcBorders>
            <w:shd w:val="clear" w:color="auto" w:fill="auto"/>
            <w:noWrap/>
            <w:vAlign w:val="bottom"/>
            <w:hideMark/>
          </w:tcPr>
          <w:p w:rsidR="007C6DAE" w:rsidRPr="007C6DAE" w:rsidRDefault="007C6DAE" w:rsidP="008C5C76">
            <w:pPr>
              <w:widowControl/>
              <w:jc w:val="center"/>
              <w:rPr>
                <w:rFonts w:ascii="Arial" w:eastAsia="Times New Roman" w:hAnsi="Arial" w:cs="Arial"/>
                <w:b/>
                <w:bCs/>
                <w:color w:val="000000"/>
                <w:sz w:val="24"/>
                <w:szCs w:val="24"/>
              </w:rPr>
            </w:pPr>
            <w:r w:rsidRPr="007C6DAE">
              <w:rPr>
                <w:rFonts w:ascii="Arial" w:eastAsia="Times New Roman" w:hAnsi="Arial" w:cs="Arial"/>
                <w:b/>
                <w:bCs/>
                <w:color w:val="000000"/>
                <w:sz w:val="24"/>
                <w:szCs w:val="24"/>
              </w:rPr>
              <w:t>Revenue and Support</w:t>
            </w:r>
          </w:p>
        </w:tc>
        <w:tc>
          <w:tcPr>
            <w:tcW w:w="1874" w:type="dxa"/>
            <w:tcBorders>
              <w:top w:val="nil"/>
              <w:left w:val="nil"/>
              <w:bottom w:val="single" w:sz="8" w:space="0" w:color="auto"/>
              <w:right w:val="nil"/>
            </w:tcBorders>
            <w:shd w:val="clear" w:color="auto" w:fill="auto"/>
            <w:noWrap/>
            <w:vAlign w:val="bottom"/>
            <w:hideMark/>
          </w:tcPr>
          <w:p w:rsidR="007C6DAE" w:rsidRPr="007C6DAE" w:rsidRDefault="007C6DAE" w:rsidP="007C6DAE">
            <w:pPr>
              <w:widowControl/>
              <w:rPr>
                <w:rFonts w:ascii="Arial" w:eastAsia="Times New Roman" w:hAnsi="Arial" w:cs="Arial"/>
                <w:b/>
                <w:bCs/>
                <w:color w:val="000000"/>
                <w:sz w:val="24"/>
                <w:szCs w:val="24"/>
              </w:rPr>
            </w:pPr>
            <w:r w:rsidRPr="007C6DAE">
              <w:rPr>
                <w:rFonts w:ascii="Arial" w:eastAsia="Times New Roman" w:hAnsi="Arial" w:cs="Arial"/>
                <w:b/>
                <w:bCs/>
                <w:color w:val="000000"/>
                <w:sz w:val="24"/>
                <w:szCs w:val="24"/>
              </w:rPr>
              <w:t> </w:t>
            </w:r>
          </w:p>
        </w:tc>
        <w:tc>
          <w:tcPr>
            <w:tcW w:w="2062" w:type="dxa"/>
            <w:gridSpan w:val="2"/>
            <w:tcBorders>
              <w:top w:val="nil"/>
              <w:left w:val="nil"/>
              <w:bottom w:val="single" w:sz="8" w:space="0" w:color="auto"/>
              <w:right w:val="nil"/>
            </w:tcBorders>
            <w:shd w:val="clear" w:color="auto" w:fill="auto"/>
            <w:noWrap/>
            <w:vAlign w:val="bottom"/>
            <w:hideMark/>
          </w:tcPr>
          <w:p w:rsidR="007C6DAE" w:rsidRPr="007C6DAE" w:rsidRDefault="007C6DAE" w:rsidP="007C6DAE">
            <w:pPr>
              <w:widowControl/>
              <w:rPr>
                <w:rFonts w:ascii="Arial" w:eastAsia="Times New Roman" w:hAnsi="Arial" w:cs="Arial"/>
                <w:b/>
                <w:bCs/>
                <w:color w:val="000000"/>
                <w:sz w:val="24"/>
                <w:szCs w:val="24"/>
              </w:rPr>
            </w:pPr>
            <w:r w:rsidRPr="007C6DAE">
              <w:rPr>
                <w:rFonts w:ascii="Arial" w:eastAsia="Times New Roman" w:hAnsi="Arial" w:cs="Arial"/>
                <w:b/>
                <w:bCs/>
                <w:color w:val="000000"/>
                <w:sz w:val="24"/>
                <w:szCs w:val="24"/>
              </w:rPr>
              <w:t> </w:t>
            </w:r>
          </w:p>
        </w:tc>
        <w:tc>
          <w:tcPr>
            <w:tcW w:w="1838" w:type="dxa"/>
            <w:tcBorders>
              <w:top w:val="nil"/>
              <w:left w:val="nil"/>
              <w:bottom w:val="single" w:sz="8" w:space="0" w:color="auto"/>
              <w:right w:val="nil"/>
            </w:tcBorders>
            <w:shd w:val="clear" w:color="auto" w:fill="auto"/>
            <w:noWrap/>
            <w:vAlign w:val="bottom"/>
            <w:hideMark/>
          </w:tcPr>
          <w:p w:rsidR="007C6DAE" w:rsidRPr="007C6DAE" w:rsidRDefault="007C6DAE" w:rsidP="007C6DAE">
            <w:pPr>
              <w:widowControl/>
              <w:jc w:val="center"/>
              <w:rPr>
                <w:rFonts w:ascii="Arial" w:eastAsia="Times New Roman" w:hAnsi="Arial" w:cs="Arial"/>
                <w:color w:val="000000"/>
                <w:sz w:val="20"/>
                <w:szCs w:val="20"/>
              </w:rPr>
            </w:pPr>
            <w:r w:rsidRPr="007C6DAE">
              <w:rPr>
                <w:rFonts w:ascii="Arial" w:eastAsia="Times New Roman" w:hAnsi="Arial" w:cs="Arial"/>
                <w:color w:val="000000"/>
                <w:sz w:val="20"/>
                <w:szCs w:val="20"/>
              </w:rPr>
              <w:t>May 31, 2016</w:t>
            </w:r>
          </w:p>
        </w:tc>
        <w:tc>
          <w:tcPr>
            <w:tcW w:w="1918" w:type="dxa"/>
            <w:tcBorders>
              <w:top w:val="nil"/>
              <w:left w:val="nil"/>
              <w:bottom w:val="single" w:sz="8" w:space="0" w:color="auto"/>
              <w:right w:val="nil"/>
            </w:tcBorders>
            <w:shd w:val="clear" w:color="auto" w:fill="auto"/>
            <w:noWrap/>
            <w:vAlign w:val="bottom"/>
            <w:hideMark/>
          </w:tcPr>
          <w:p w:rsidR="007C6DAE" w:rsidRPr="007C6DAE" w:rsidRDefault="007C6DAE" w:rsidP="007C6DAE">
            <w:pPr>
              <w:widowControl/>
              <w:jc w:val="center"/>
              <w:rPr>
                <w:rFonts w:ascii="Arial" w:eastAsia="Times New Roman" w:hAnsi="Arial" w:cs="Arial"/>
                <w:color w:val="000000"/>
                <w:sz w:val="20"/>
                <w:szCs w:val="20"/>
              </w:rPr>
            </w:pPr>
            <w:r w:rsidRPr="007C6DAE">
              <w:rPr>
                <w:rFonts w:ascii="Arial" w:eastAsia="Times New Roman" w:hAnsi="Arial" w:cs="Arial"/>
                <w:color w:val="000000"/>
                <w:sz w:val="20"/>
                <w:szCs w:val="20"/>
              </w:rPr>
              <w:t>May 31, 2015</w:t>
            </w:r>
          </w:p>
        </w:tc>
        <w:tc>
          <w:tcPr>
            <w:tcW w:w="520" w:type="dxa"/>
            <w:tcBorders>
              <w:top w:val="nil"/>
              <w:left w:val="nil"/>
              <w:bottom w:val="nil"/>
              <w:right w:val="nil"/>
            </w:tcBorders>
            <w:shd w:val="clear" w:color="auto" w:fill="auto"/>
            <w:noWrap/>
            <w:vAlign w:val="bottom"/>
            <w:hideMark/>
          </w:tcPr>
          <w:p w:rsidR="007C6DAE" w:rsidRPr="007C6DAE" w:rsidRDefault="007C6DAE" w:rsidP="007C6DAE">
            <w:pPr>
              <w:widowControl/>
              <w:jc w:val="center"/>
              <w:rPr>
                <w:rFonts w:ascii="Arial" w:eastAsia="Times New Roman" w:hAnsi="Arial" w:cs="Arial"/>
                <w:color w:val="000000"/>
                <w:sz w:val="20"/>
                <w:szCs w:val="20"/>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jc w:val="center"/>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Grants - New York State</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         458,783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          443,804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Grants - Federal (HRI)</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6,540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9,564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Transportation - Medicaid </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82,643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77,110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Greene County DSS</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18,432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18,337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Columbia County Departments</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5880" w:type="dxa"/>
            <w:gridSpan w:val="4"/>
            <w:tcBorders>
              <w:top w:val="nil"/>
              <w:left w:val="nil"/>
              <w:bottom w:val="nil"/>
              <w:right w:val="nil"/>
            </w:tcBorders>
            <w:shd w:val="clear" w:color="auto" w:fill="auto"/>
            <w:noWrap/>
            <w:vAlign w:val="center"/>
            <w:hideMark/>
          </w:tcPr>
          <w:p w:rsidR="007C6DAE" w:rsidRPr="00825A26" w:rsidRDefault="007C6DAE" w:rsidP="007C6DAE">
            <w:pPr>
              <w:widowControl/>
              <w:ind w:firstLineChars="400" w:firstLine="880"/>
              <w:rPr>
                <w:rFonts w:ascii="Arial" w:eastAsia="Times New Roman" w:hAnsi="Arial" w:cs="Arial"/>
                <w:color w:val="000000"/>
                <w:szCs w:val="24"/>
              </w:rPr>
            </w:pPr>
            <w:r w:rsidRPr="00825A26">
              <w:rPr>
                <w:rFonts w:ascii="Arial" w:eastAsia="Times New Roman" w:hAnsi="Arial" w:cs="Arial"/>
                <w:color w:val="000000"/>
                <w:szCs w:val="24"/>
              </w:rPr>
              <w:t>OFA: NY Connects, Senior Transportation</w:t>
            </w: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ind w:firstLineChars="400" w:firstLine="880"/>
              <w:rPr>
                <w:rFonts w:ascii="Arial" w:eastAsia="Times New Roman" w:hAnsi="Arial" w:cs="Arial"/>
                <w:color w:val="000000"/>
                <w:szCs w:val="24"/>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42,292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33,557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ind w:firstLineChars="400" w:firstLine="880"/>
              <w:rPr>
                <w:rFonts w:ascii="Arial" w:eastAsia="Times New Roman" w:hAnsi="Arial" w:cs="Arial"/>
                <w:color w:val="000000"/>
                <w:szCs w:val="24"/>
              </w:rPr>
            </w:pPr>
            <w:r w:rsidRPr="00825A26">
              <w:rPr>
                <w:rFonts w:ascii="Arial" w:eastAsia="Times New Roman" w:hAnsi="Arial" w:cs="Arial"/>
                <w:color w:val="000000"/>
                <w:szCs w:val="24"/>
              </w:rPr>
              <w:t>Dept. of Human Services</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ind w:firstLineChars="400" w:firstLine="880"/>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4,541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2,953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ind w:firstLineChars="400" w:firstLine="880"/>
              <w:rPr>
                <w:rFonts w:ascii="Arial" w:eastAsia="Times New Roman" w:hAnsi="Arial" w:cs="Arial"/>
                <w:color w:val="000000"/>
                <w:szCs w:val="24"/>
              </w:rPr>
            </w:pPr>
            <w:r w:rsidRPr="00825A26">
              <w:rPr>
                <w:rFonts w:ascii="Arial" w:eastAsia="Times New Roman" w:hAnsi="Arial" w:cs="Arial"/>
                <w:color w:val="000000"/>
                <w:szCs w:val="24"/>
              </w:rPr>
              <w:t>Dept. of Health</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ind w:firstLineChars="400" w:firstLine="880"/>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461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Donations - Transportation</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3,530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3,030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Donations - Others</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150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20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Interest - Bank Accounts</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493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633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Investment Income</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371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70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Unrealized Gain (Loss) on Investment</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46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248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5880" w:type="dxa"/>
            <w:gridSpan w:val="4"/>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Foundation Revenue-FCH &amp; Dyson</w:t>
            </w: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23,376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79,759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5880" w:type="dxa"/>
            <w:gridSpan w:val="4"/>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Miscellaneous Revenue - NYS Interest &amp; Others</w:t>
            </w: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6,085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496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20"/>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4006" w:type="dxa"/>
            <w:gridSpan w:val="3"/>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In-Kind Rent - Columbia County</w:t>
            </w:r>
          </w:p>
        </w:tc>
        <w:tc>
          <w:tcPr>
            <w:tcW w:w="1874"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1838" w:type="dxa"/>
            <w:tcBorders>
              <w:top w:val="nil"/>
              <w:left w:val="nil"/>
              <w:bottom w:val="single" w:sz="8" w:space="0" w:color="auto"/>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19,406 </w:t>
            </w:r>
          </w:p>
        </w:tc>
        <w:tc>
          <w:tcPr>
            <w:tcW w:w="1918" w:type="dxa"/>
            <w:tcBorders>
              <w:top w:val="nil"/>
              <w:left w:val="nil"/>
              <w:bottom w:val="single" w:sz="8" w:space="0" w:color="auto"/>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19,406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7C6DAE"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7C6DAE" w:rsidRDefault="007C6DAE" w:rsidP="007C6DAE">
            <w:pPr>
              <w:widowControl/>
              <w:rPr>
                <w:rFonts w:ascii="Times New Roman" w:eastAsia="Times New Roman" w:hAnsi="Times New Roman" w:cs="Times New Roman"/>
                <w:sz w:val="20"/>
                <w:szCs w:val="20"/>
              </w:rPr>
            </w:pPr>
          </w:p>
        </w:tc>
        <w:tc>
          <w:tcPr>
            <w:tcW w:w="2084"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Cs w:val="20"/>
              </w:rPr>
            </w:pPr>
          </w:p>
        </w:tc>
        <w:tc>
          <w:tcPr>
            <w:tcW w:w="3796"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b/>
                <w:bCs/>
                <w:color w:val="000000"/>
                <w:szCs w:val="24"/>
              </w:rPr>
            </w:pPr>
            <w:r w:rsidRPr="00825A26">
              <w:rPr>
                <w:rFonts w:ascii="Arial" w:eastAsia="Times New Roman" w:hAnsi="Arial" w:cs="Arial"/>
                <w:b/>
                <w:bCs/>
                <w:color w:val="000000"/>
                <w:szCs w:val="24"/>
              </w:rPr>
              <w:t>Total Revenue and Support</w:t>
            </w: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b/>
                <w:bCs/>
                <w:color w:val="000000"/>
                <w:szCs w:val="24"/>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667,150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688,987 </w:t>
            </w:r>
          </w:p>
        </w:tc>
        <w:tc>
          <w:tcPr>
            <w:tcW w:w="520" w:type="dxa"/>
            <w:tcBorders>
              <w:top w:val="nil"/>
              <w:left w:val="nil"/>
              <w:bottom w:val="nil"/>
              <w:right w:val="nil"/>
            </w:tcBorders>
            <w:shd w:val="clear" w:color="auto" w:fill="auto"/>
            <w:noWrap/>
            <w:vAlign w:val="center"/>
            <w:hideMark/>
          </w:tcPr>
          <w:p w:rsidR="007C6DAE" w:rsidRPr="007C6DAE" w:rsidRDefault="007C6DAE" w:rsidP="007C6DAE">
            <w:pPr>
              <w:widowControl/>
              <w:rPr>
                <w:rFonts w:ascii="Arial" w:eastAsia="Times New Roman" w:hAnsi="Arial" w:cs="Arial"/>
                <w:color w:val="000000"/>
                <w:sz w:val="24"/>
                <w:szCs w:val="24"/>
              </w:rPr>
            </w:pPr>
          </w:p>
        </w:tc>
      </w:tr>
      <w:tr w:rsidR="007C6DAE" w:rsidRPr="003E7E2D" w:rsidTr="00825A26">
        <w:trPr>
          <w:trHeight w:val="405"/>
        </w:trPr>
        <w:tc>
          <w:tcPr>
            <w:tcW w:w="600"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 w:val="18"/>
                <w:szCs w:val="20"/>
              </w:rPr>
            </w:pPr>
          </w:p>
        </w:tc>
        <w:tc>
          <w:tcPr>
            <w:tcW w:w="5880" w:type="dxa"/>
            <w:gridSpan w:val="4"/>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b/>
                <w:bCs/>
                <w:color w:val="000000"/>
                <w:szCs w:val="24"/>
              </w:rPr>
            </w:pPr>
            <w:r w:rsidRPr="00825A26">
              <w:rPr>
                <w:rFonts w:ascii="Arial" w:eastAsia="Times New Roman" w:hAnsi="Arial" w:cs="Arial"/>
                <w:b/>
                <w:bCs/>
                <w:color w:val="000000"/>
                <w:szCs w:val="24"/>
              </w:rPr>
              <w:t>Assets Released from Temporary Restrictions</w:t>
            </w:r>
          </w:p>
        </w:tc>
        <w:tc>
          <w:tcPr>
            <w:tcW w:w="2062"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b/>
                <w:bCs/>
                <w:color w:val="000000"/>
                <w:szCs w:val="24"/>
              </w:rPr>
            </w:pPr>
          </w:p>
        </w:tc>
        <w:tc>
          <w:tcPr>
            <w:tcW w:w="183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36,961 </w:t>
            </w:r>
          </w:p>
        </w:tc>
        <w:tc>
          <w:tcPr>
            <w:tcW w:w="1918"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38,663 </w:t>
            </w:r>
          </w:p>
        </w:tc>
        <w:tc>
          <w:tcPr>
            <w:tcW w:w="520"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r>
      <w:tr w:rsidR="007C6DAE" w:rsidRPr="003E7E2D" w:rsidTr="007C6DAE">
        <w:trPr>
          <w:trHeight w:val="420"/>
        </w:trPr>
        <w:tc>
          <w:tcPr>
            <w:tcW w:w="600"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 w:val="18"/>
                <w:szCs w:val="20"/>
              </w:rPr>
            </w:pPr>
          </w:p>
        </w:tc>
        <w:tc>
          <w:tcPr>
            <w:tcW w:w="2084" w:type="dxa"/>
            <w:gridSpan w:val="2"/>
            <w:tcBorders>
              <w:top w:val="nil"/>
              <w:left w:val="nil"/>
              <w:bottom w:val="nil"/>
              <w:right w:val="nil"/>
            </w:tcBorders>
            <w:shd w:val="clear" w:color="auto" w:fill="auto"/>
            <w:noWrap/>
            <w:vAlign w:val="center"/>
            <w:hideMark/>
          </w:tcPr>
          <w:p w:rsidR="007C6DAE" w:rsidRPr="00825A26" w:rsidRDefault="007C6DAE" w:rsidP="007C6DAE">
            <w:pPr>
              <w:widowControl/>
              <w:rPr>
                <w:rFonts w:ascii="Times New Roman" w:eastAsia="Times New Roman" w:hAnsi="Times New Roman" w:cs="Times New Roman"/>
                <w:sz w:val="18"/>
                <w:szCs w:val="20"/>
              </w:rPr>
            </w:pPr>
          </w:p>
        </w:tc>
        <w:tc>
          <w:tcPr>
            <w:tcW w:w="5858" w:type="dxa"/>
            <w:gridSpan w:val="4"/>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b/>
                <w:bCs/>
                <w:color w:val="000000"/>
                <w:szCs w:val="24"/>
              </w:rPr>
            </w:pPr>
            <w:r w:rsidRPr="00825A26">
              <w:rPr>
                <w:rFonts w:ascii="Arial" w:eastAsia="Times New Roman" w:hAnsi="Arial" w:cs="Arial"/>
                <w:b/>
                <w:bCs/>
                <w:color w:val="000000"/>
                <w:szCs w:val="24"/>
              </w:rPr>
              <w:t>Total Revenue and Other Support</w:t>
            </w:r>
          </w:p>
        </w:tc>
        <w:tc>
          <w:tcPr>
            <w:tcW w:w="1838" w:type="dxa"/>
            <w:tcBorders>
              <w:top w:val="single" w:sz="4" w:space="0" w:color="auto"/>
              <w:left w:val="nil"/>
              <w:bottom w:val="double" w:sz="6" w:space="0" w:color="auto"/>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704,111 </w:t>
            </w:r>
          </w:p>
        </w:tc>
        <w:tc>
          <w:tcPr>
            <w:tcW w:w="1918" w:type="dxa"/>
            <w:tcBorders>
              <w:top w:val="single" w:sz="4" w:space="0" w:color="auto"/>
              <w:left w:val="nil"/>
              <w:bottom w:val="double" w:sz="6" w:space="0" w:color="auto"/>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r w:rsidRPr="00825A26">
              <w:rPr>
                <w:rFonts w:ascii="Arial" w:eastAsia="Times New Roman" w:hAnsi="Arial" w:cs="Arial"/>
                <w:color w:val="000000"/>
                <w:szCs w:val="24"/>
              </w:rPr>
              <w:t xml:space="preserve">             727,650 </w:t>
            </w:r>
          </w:p>
        </w:tc>
        <w:tc>
          <w:tcPr>
            <w:tcW w:w="520" w:type="dxa"/>
            <w:tcBorders>
              <w:top w:val="nil"/>
              <w:left w:val="nil"/>
              <w:bottom w:val="nil"/>
              <w:right w:val="nil"/>
            </w:tcBorders>
            <w:shd w:val="clear" w:color="auto" w:fill="auto"/>
            <w:noWrap/>
            <w:vAlign w:val="center"/>
            <w:hideMark/>
          </w:tcPr>
          <w:p w:rsidR="007C6DAE" w:rsidRPr="00825A26" w:rsidRDefault="007C6DAE" w:rsidP="007C6DAE">
            <w:pPr>
              <w:widowControl/>
              <w:rPr>
                <w:rFonts w:ascii="Arial" w:eastAsia="Times New Roman" w:hAnsi="Arial" w:cs="Arial"/>
                <w:color w:val="000000"/>
                <w:szCs w:val="24"/>
              </w:rPr>
            </w:pPr>
          </w:p>
        </w:tc>
      </w:tr>
    </w:tbl>
    <w:p w:rsidR="007C6DAE" w:rsidRPr="00825A26" w:rsidRDefault="007C6DAE">
      <w:pPr>
        <w:rPr>
          <w:sz w:val="20"/>
        </w:rPr>
      </w:pPr>
    </w:p>
    <w:p w:rsidR="008C5C76" w:rsidRPr="00825A26" w:rsidRDefault="008C5C76">
      <w:pPr>
        <w:rPr>
          <w:sz w:val="20"/>
        </w:rPr>
      </w:pPr>
    </w:p>
    <w:p w:rsidR="008C5C76" w:rsidRDefault="008C5C76"/>
    <w:p w:rsidR="008C5C76" w:rsidRDefault="008C5C76"/>
    <w:p w:rsidR="008C5C76" w:rsidRDefault="008C5C76"/>
    <w:p w:rsidR="008C5C76" w:rsidRDefault="008C5C76"/>
    <w:p w:rsidR="008C5C76" w:rsidRDefault="008C5C76"/>
    <w:p w:rsidR="008C5C76" w:rsidRDefault="008C5C76"/>
    <w:p w:rsidR="008C5C76" w:rsidRDefault="008C5C76"/>
    <w:p w:rsidR="008C5C76" w:rsidRDefault="008C5C76"/>
    <w:p w:rsidR="008C5C76" w:rsidRDefault="008C5C76"/>
    <w:p w:rsidR="003E7E2D" w:rsidRDefault="003E7E2D">
      <w:pPr>
        <w:widowControl/>
        <w:spacing w:after="160" w:line="259" w:lineRule="auto"/>
        <w:rPr>
          <w:b/>
        </w:rPr>
      </w:pPr>
      <w:r>
        <w:rPr>
          <w:b/>
        </w:rPr>
        <w:br w:type="page"/>
      </w:r>
    </w:p>
    <w:p w:rsidR="008C5C76" w:rsidRPr="00870380" w:rsidRDefault="008C5C76" w:rsidP="008C5C76">
      <w:pPr>
        <w:rPr>
          <w:b/>
        </w:rPr>
      </w:pPr>
      <w:r w:rsidRPr="00870380">
        <w:rPr>
          <w:b/>
        </w:rPr>
        <w:lastRenderedPageBreak/>
        <w:t xml:space="preserve">Columbia County Community Healthcare Consortium, Inc. </w:t>
      </w:r>
    </w:p>
    <w:p w:rsidR="008C5C76" w:rsidRPr="00870380" w:rsidRDefault="008C5C76" w:rsidP="008C5C76">
      <w:pPr>
        <w:rPr>
          <w:b/>
        </w:rPr>
      </w:pPr>
      <w:r w:rsidRPr="00870380">
        <w:rPr>
          <w:b/>
        </w:rPr>
        <w:t xml:space="preserve">Meeting of the Executive </w:t>
      </w:r>
      <w:r>
        <w:rPr>
          <w:b/>
        </w:rPr>
        <w:t>Committee</w:t>
      </w:r>
    </w:p>
    <w:p w:rsidR="008C5C76" w:rsidRPr="00870380" w:rsidRDefault="008C5C76" w:rsidP="008C5C76">
      <w:pPr>
        <w:rPr>
          <w:b/>
        </w:rPr>
      </w:pPr>
      <w:r>
        <w:rPr>
          <w:b/>
        </w:rPr>
        <w:t>June 21</w:t>
      </w:r>
      <w:r w:rsidRPr="00870380">
        <w:rPr>
          <w:b/>
        </w:rPr>
        <w:t>, 2016</w:t>
      </w:r>
    </w:p>
    <w:p w:rsidR="008C5C76" w:rsidRDefault="008C5C76" w:rsidP="008C5C76"/>
    <w:p w:rsidR="008C5C76" w:rsidRPr="00870380" w:rsidRDefault="008C5C76" w:rsidP="008C5C76">
      <w:pPr>
        <w:rPr>
          <w:b/>
          <w:u w:val="single"/>
        </w:rPr>
      </w:pPr>
      <w:r w:rsidRPr="00870380">
        <w:rPr>
          <w:b/>
          <w:u w:val="single"/>
        </w:rPr>
        <w:t>Executive Director’s Report</w:t>
      </w:r>
    </w:p>
    <w:p w:rsidR="008C5C76" w:rsidRDefault="008C5C76" w:rsidP="008C5C76"/>
    <w:p w:rsidR="008C5C76" w:rsidRDefault="008C5C76" w:rsidP="008C5C76">
      <w:pPr>
        <w:rPr>
          <w:b/>
        </w:rPr>
      </w:pPr>
      <w:r>
        <w:rPr>
          <w:b/>
        </w:rPr>
        <w:t xml:space="preserve">Board and Community </w:t>
      </w:r>
      <w:r w:rsidRPr="00870380">
        <w:rPr>
          <w:b/>
        </w:rPr>
        <w:t>Relations</w:t>
      </w:r>
    </w:p>
    <w:p w:rsidR="008C5C76" w:rsidRDefault="008C5C76" w:rsidP="008C5C76">
      <w:pPr>
        <w:pStyle w:val="ListParagraph"/>
        <w:numPr>
          <w:ilvl w:val="0"/>
          <w:numId w:val="4"/>
        </w:numPr>
        <w:spacing w:before="120" w:after="120" w:line="259" w:lineRule="auto"/>
        <w:contextualSpacing w:val="0"/>
      </w:pPr>
      <w:r>
        <w:t>On June 2nd, I</w:t>
      </w:r>
      <w:r w:rsidRPr="00D049EE">
        <w:t xml:space="preserve"> </w:t>
      </w:r>
      <w:r>
        <w:t xml:space="preserve">attended the VA Clinic Ribbon Cutting at the Greene Medical Arts Facility. </w:t>
      </w:r>
    </w:p>
    <w:p w:rsidR="008C5C76" w:rsidRDefault="008C5C76" w:rsidP="008C5C76">
      <w:pPr>
        <w:pStyle w:val="ListParagraph"/>
        <w:numPr>
          <w:ilvl w:val="0"/>
          <w:numId w:val="4"/>
        </w:numPr>
        <w:spacing w:before="120" w:after="120" w:line="259" w:lineRule="auto"/>
        <w:contextualSpacing w:val="0"/>
      </w:pPr>
      <w:r>
        <w:t>On June 9</w:t>
      </w:r>
      <w:r w:rsidRPr="00DD330D">
        <w:rPr>
          <w:vertAlign w:val="superscript"/>
        </w:rPr>
        <w:t>th</w:t>
      </w:r>
      <w:r>
        <w:t xml:space="preserve">, I attended the Greene County Chamber of Commerce’s Annual Recognition Gala in Windham. </w:t>
      </w:r>
    </w:p>
    <w:p w:rsidR="008C5C76" w:rsidRDefault="008C5C76" w:rsidP="008C5C76">
      <w:pPr>
        <w:rPr>
          <w:b/>
        </w:rPr>
      </w:pPr>
    </w:p>
    <w:p w:rsidR="008C5C76" w:rsidRPr="00870380" w:rsidRDefault="008C5C76" w:rsidP="008C5C76">
      <w:pPr>
        <w:rPr>
          <w:b/>
        </w:rPr>
      </w:pPr>
      <w:r w:rsidRPr="00870380">
        <w:rPr>
          <w:b/>
        </w:rPr>
        <w:t>Strateg</w:t>
      </w:r>
      <w:r>
        <w:rPr>
          <w:b/>
        </w:rPr>
        <w:t>y</w:t>
      </w:r>
      <w:r w:rsidRPr="00870380">
        <w:rPr>
          <w:b/>
        </w:rPr>
        <w:t xml:space="preserve"> &amp; </w:t>
      </w:r>
      <w:r>
        <w:rPr>
          <w:b/>
        </w:rPr>
        <w:t xml:space="preserve">Program </w:t>
      </w:r>
      <w:r w:rsidRPr="00870380">
        <w:rPr>
          <w:b/>
        </w:rPr>
        <w:t>Planning</w:t>
      </w:r>
    </w:p>
    <w:p w:rsidR="008C5C76" w:rsidRDefault="008C5C76" w:rsidP="008C5C76">
      <w:pPr>
        <w:pStyle w:val="ListParagraph"/>
        <w:numPr>
          <w:ilvl w:val="0"/>
          <w:numId w:val="2"/>
        </w:numPr>
        <w:spacing w:before="120"/>
        <w:contextualSpacing w:val="0"/>
      </w:pPr>
      <w:r>
        <w:t>On June 10</w:t>
      </w:r>
      <w:r w:rsidRPr="00DD330D">
        <w:rPr>
          <w:vertAlign w:val="superscript"/>
        </w:rPr>
        <w:t>th</w:t>
      </w:r>
      <w:r>
        <w:t>, I attended the Behavioral Health Consumer Forum and the Regional Planning Consortium Kickoff Meeting, both at Empire State Plaza in Albany and both extremely helpful to me as I try to learn about the transition to manage care and especially HARP and HCBS.</w:t>
      </w:r>
      <w:r w:rsidRPr="00CE6BF9">
        <w:t xml:space="preserve"> </w:t>
      </w:r>
      <w:r>
        <w:t xml:space="preserve">The following week, I attended the third meeting of the Behavioral Health Community Crisis Stabilization Subcommittee of the AMCH DSRIP PPS, where Bob Holtz, of CDPHP, presented on the transition to Medicaid Managed Care, HARP and HCBS.  Finally, I participated in a meeting in Hudson jointly hosted by CDPHP and Community Cares Behavioral Health Organization regarded Managed Care, HARP and HCBS.  At this point, I feel “up to speed.”  I also learned that, as a provider of non-medical transportation services only, we do NOT need to contract with each plan, nor will our process for dispatch and claiming payment look any different than it currently does for Medicaid medical transportation. </w:t>
      </w:r>
    </w:p>
    <w:p w:rsidR="008C5C76" w:rsidRDefault="008C5C76" w:rsidP="008C5C76">
      <w:pPr>
        <w:pStyle w:val="ListParagraph"/>
        <w:numPr>
          <w:ilvl w:val="0"/>
          <w:numId w:val="2"/>
        </w:numPr>
        <w:spacing w:before="120"/>
        <w:contextualSpacing w:val="0"/>
      </w:pPr>
      <w:r>
        <w:t>Update on HCBS “</w:t>
      </w:r>
      <w:proofErr w:type="spellStart"/>
      <w:r>
        <w:t>start up</w:t>
      </w:r>
      <w:proofErr w:type="spellEnd"/>
      <w:r>
        <w:t xml:space="preserve">” funds:  After discussion with OMH about the intention for and proper expenditure of these funds, it does not appear that we will be able to utilize most, if any, of them.  </w:t>
      </w:r>
    </w:p>
    <w:p w:rsidR="008C5C76" w:rsidRDefault="008C5C76" w:rsidP="008C5C76">
      <w:pPr>
        <w:pStyle w:val="ListParagraph"/>
        <w:numPr>
          <w:ilvl w:val="0"/>
          <w:numId w:val="2"/>
        </w:numPr>
        <w:spacing w:before="120"/>
        <w:contextualSpacing w:val="0"/>
      </w:pPr>
      <w:r>
        <w:t>On June 16</w:t>
      </w:r>
      <w:r w:rsidRPr="00CE6BF9">
        <w:rPr>
          <w:vertAlign w:val="superscript"/>
        </w:rPr>
        <w:t>th</w:t>
      </w:r>
      <w:r>
        <w:t xml:space="preserve">, I attended a dinner hosted by the </w:t>
      </w:r>
      <w:proofErr w:type="spellStart"/>
      <w:r>
        <w:t>NYSHealth</w:t>
      </w:r>
      <w:proofErr w:type="spellEnd"/>
      <w:r>
        <w:t xml:space="preserve"> Foundation in Beacon, NY where I met, for the first time, David Sandman, the Foundation’s new President and CEO, as well as Andrea Reynolds, President and CEO of the Dyson Foundation (a funder). </w:t>
      </w:r>
    </w:p>
    <w:p w:rsidR="008C5C76" w:rsidRDefault="008C5C76" w:rsidP="008C5C76">
      <w:pPr>
        <w:spacing w:before="120"/>
      </w:pPr>
    </w:p>
    <w:p w:rsidR="008C5C76" w:rsidRPr="00870380" w:rsidRDefault="008C5C76" w:rsidP="008C5C76">
      <w:pPr>
        <w:rPr>
          <w:b/>
        </w:rPr>
      </w:pPr>
      <w:r w:rsidRPr="00870380">
        <w:rPr>
          <w:b/>
        </w:rPr>
        <w:t>Resource Development</w:t>
      </w:r>
    </w:p>
    <w:p w:rsidR="008C5C76" w:rsidRDefault="008C5C76" w:rsidP="008C5C76">
      <w:pPr>
        <w:pStyle w:val="ListParagraph"/>
        <w:numPr>
          <w:ilvl w:val="0"/>
          <w:numId w:val="3"/>
        </w:numPr>
        <w:spacing w:before="120" w:after="120" w:line="259" w:lineRule="auto"/>
        <w:contextualSpacing w:val="0"/>
      </w:pPr>
      <w:r>
        <w:t xml:space="preserve">Update on our budget modification request to NYSDOH for the Navigator contract:  this was approved timely.  We continue to await approval of our request to NYSOFA.  </w:t>
      </w:r>
    </w:p>
    <w:p w:rsidR="008C5C76" w:rsidRDefault="008C5C76" w:rsidP="008C5C76">
      <w:pPr>
        <w:pStyle w:val="ListParagraph"/>
      </w:pPr>
    </w:p>
    <w:p w:rsidR="008C5C76" w:rsidRDefault="008C5C76" w:rsidP="008C5C76">
      <w:pPr>
        <w:tabs>
          <w:tab w:val="left" w:pos="1365"/>
        </w:tabs>
      </w:pPr>
      <w:r w:rsidRPr="00870380">
        <w:rPr>
          <w:b/>
        </w:rPr>
        <w:t>Fiscal Management</w:t>
      </w:r>
    </w:p>
    <w:p w:rsidR="008C5C76" w:rsidRDefault="008C5C76" w:rsidP="008C5C76">
      <w:pPr>
        <w:pStyle w:val="ListParagraph"/>
        <w:numPr>
          <w:ilvl w:val="0"/>
          <w:numId w:val="3"/>
        </w:numPr>
        <w:spacing w:before="120"/>
      </w:pPr>
      <w:r>
        <w:t xml:space="preserve">Final copies of the financial statements have been received, as well as the IRS 990 and NYS CHAR 500.  Both will be fully executed today, mailed, scanned and uploaded to the Grants Gateway as part of a more comprehensive update.  </w:t>
      </w:r>
    </w:p>
    <w:p w:rsidR="008C5C76" w:rsidRDefault="008C5C76" w:rsidP="008C5C76">
      <w:pPr>
        <w:pStyle w:val="ListParagraph"/>
        <w:spacing w:before="120"/>
        <w:ind w:left="360"/>
        <w:contextualSpacing w:val="0"/>
      </w:pPr>
    </w:p>
    <w:p w:rsidR="008C5C76" w:rsidRDefault="008C5C76" w:rsidP="008C5C76">
      <w:pPr>
        <w:rPr>
          <w:b/>
        </w:rPr>
      </w:pPr>
      <w:r w:rsidRPr="00870380">
        <w:rPr>
          <w:b/>
        </w:rPr>
        <w:t>Program Management</w:t>
      </w:r>
    </w:p>
    <w:p w:rsidR="008C5C76" w:rsidRDefault="008C5C76" w:rsidP="008C5C76">
      <w:pPr>
        <w:pStyle w:val="ListParagraph"/>
        <w:numPr>
          <w:ilvl w:val="0"/>
          <w:numId w:val="1"/>
        </w:numPr>
        <w:spacing w:before="120"/>
      </w:pPr>
      <w:r>
        <w:t>We received written confirmation that our work plan and budget for the Rural Health Network contract starting April 1</w:t>
      </w:r>
      <w:r>
        <w:rPr>
          <w:vertAlign w:val="superscript"/>
        </w:rPr>
        <w:t xml:space="preserve">, </w:t>
      </w:r>
      <w:r>
        <w:t xml:space="preserve">2016 has been approved. </w:t>
      </w:r>
    </w:p>
    <w:p w:rsidR="008C5C76" w:rsidRPr="009A7F7F" w:rsidRDefault="008C5C76" w:rsidP="008C5C76">
      <w:pPr>
        <w:pStyle w:val="ListParagraph"/>
        <w:spacing w:before="120"/>
        <w:ind w:left="360"/>
      </w:pPr>
    </w:p>
    <w:p w:rsidR="008C5C76" w:rsidRPr="009A7F7F" w:rsidRDefault="008C5C76" w:rsidP="008C5C76">
      <w:r w:rsidRPr="009A7F7F">
        <w:rPr>
          <w:b/>
        </w:rPr>
        <w:t>Personnel</w:t>
      </w:r>
      <w:r>
        <w:rPr>
          <w:b/>
        </w:rPr>
        <w:t xml:space="preserve"> Management</w:t>
      </w:r>
    </w:p>
    <w:p w:rsidR="008C5C76" w:rsidRDefault="008C5C76" w:rsidP="008C5C76">
      <w:pPr>
        <w:ind w:left="360"/>
      </w:pPr>
    </w:p>
    <w:p w:rsidR="008C5C76" w:rsidRDefault="008C5C76" w:rsidP="008C5C76">
      <w:pPr>
        <w:pStyle w:val="ListParagraph"/>
        <w:numPr>
          <w:ilvl w:val="0"/>
          <w:numId w:val="1"/>
        </w:numPr>
        <w:spacing w:before="120"/>
        <w:contextualSpacing w:val="0"/>
      </w:pPr>
      <w:r>
        <w:t>Vicki Haak of Ameriprise Financial and Todd Heller of Heller Pension Associates presented to the staff at their regularly scheduled meeting on June 15</w:t>
      </w:r>
      <w:r w:rsidRPr="007871B9">
        <w:rPr>
          <w:vertAlign w:val="superscript"/>
        </w:rPr>
        <w:t>th</w:t>
      </w:r>
      <w:r>
        <w:t>.  Enrollment meetings will occur with Vicki and a representative from Nationwide on June 30</w:t>
      </w:r>
      <w:r w:rsidRPr="007871B9">
        <w:rPr>
          <w:vertAlign w:val="superscript"/>
        </w:rPr>
        <w:t>th</w:t>
      </w:r>
      <w:r>
        <w:t xml:space="preserve">.  </w:t>
      </w:r>
    </w:p>
    <w:p w:rsidR="008C5C76" w:rsidRDefault="008C5C76"/>
    <w:sectPr w:rsidR="008C5C76" w:rsidSect="00825A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3332E1"/>
    <w:multiLevelType w:val="hybridMultilevel"/>
    <w:tmpl w:val="55FE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7C"/>
    <w:rsid w:val="00072528"/>
    <w:rsid w:val="001C5A3A"/>
    <w:rsid w:val="0030706B"/>
    <w:rsid w:val="003E7E2D"/>
    <w:rsid w:val="004D6294"/>
    <w:rsid w:val="006D030C"/>
    <w:rsid w:val="007C6DAE"/>
    <w:rsid w:val="0080747C"/>
    <w:rsid w:val="00825A26"/>
    <w:rsid w:val="008C5C76"/>
    <w:rsid w:val="009A1C9D"/>
    <w:rsid w:val="00B003BD"/>
    <w:rsid w:val="00CA0D5F"/>
    <w:rsid w:val="00EE130E"/>
    <w:rsid w:val="00F6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79F4C-6871-4C34-BA88-559A2D51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747C"/>
    <w:pPr>
      <w:widowControl w:val="0"/>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47C"/>
    <w:pPr>
      <w:widowControl/>
      <w:tabs>
        <w:tab w:val="center" w:pos="4680"/>
        <w:tab w:val="right" w:pos="9360"/>
      </w:tabs>
    </w:pPr>
  </w:style>
  <w:style w:type="character" w:customStyle="1" w:styleId="HeaderChar">
    <w:name w:val="Header Char"/>
    <w:basedOn w:val="DefaultParagraphFont"/>
    <w:link w:val="Header"/>
    <w:uiPriority w:val="99"/>
    <w:rsid w:val="0080747C"/>
    <w:rPr>
      <w:rFonts w:asciiTheme="minorHAnsi" w:hAnsiTheme="minorHAnsi" w:cstheme="minorBidi"/>
      <w:sz w:val="22"/>
      <w:szCs w:val="22"/>
    </w:rPr>
  </w:style>
  <w:style w:type="paragraph" w:styleId="ListParagraph">
    <w:name w:val="List Paragraph"/>
    <w:basedOn w:val="Normal"/>
    <w:uiPriority w:val="34"/>
    <w:qFormat/>
    <w:rsid w:val="008C5C76"/>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72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6-22-2016%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6-22-2016%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384946236559138"/>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Data!$B$3</c:f>
              <c:strCache>
                <c:ptCount val="1"/>
                <c:pt idx="0">
                  <c:v>Balance</c:v>
                </c:pt>
              </c:strCache>
            </c:strRef>
          </c:tx>
          <c:spPr>
            <a:ln w="28575" cap="rnd">
              <a:solidFill>
                <a:schemeClr val="accent1"/>
              </a:solidFill>
              <a:round/>
            </a:ln>
            <a:effectLst/>
          </c:spPr>
          <c:marker>
            <c:symbol val="none"/>
          </c:marker>
          <c:cat>
            <c:numRef>
              <c:f>Data!$A$4:$A$127</c:f>
              <c:numCache>
                <c:formatCode>m/d/yyyy</c:formatCode>
                <c:ptCount val="124"/>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numCache>
            </c:numRef>
          </c:cat>
          <c:val>
            <c:numRef>
              <c:f>Data!$B$4:$B$127</c:f>
              <c:numCache>
                <c:formatCode>#,##0_);[Red]\(#,##0\)</c:formatCode>
                <c:ptCount val="124"/>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numCache>
            </c:numRef>
          </c:val>
          <c:smooth val="0"/>
        </c:ser>
        <c:dLbls>
          <c:showLegendKey val="0"/>
          <c:showVal val="0"/>
          <c:showCatName val="0"/>
          <c:showSerName val="0"/>
          <c:showPercent val="0"/>
          <c:showBubbleSize val="0"/>
        </c:dLbls>
        <c:smooth val="0"/>
        <c:axId val="140499072"/>
        <c:axId val="140499456"/>
      </c:lineChart>
      <c:dateAx>
        <c:axId val="14049907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99456"/>
        <c:crosses val="autoZero"/>
        <c:auto val="1"/>
        <c:lblOffset val="100"/>
        <c:baseTimeUnit val="days"/>
      </c:dateAx>
      <c:valAx>
        <c:axId val="14049945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9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'Fiscal Highlights'!$V$62:$V$90</c:f>
              <c:numCache>
                <c:formatCode>General</c:formatCode>
                <c:ptCount val="29"/>
                <c:pt idx="3" formatCode="mmm\-yy">
                  <c:v>42095</c:v>
                </c:pt>
                <c:pt idx="4" formatCode="mmm\-yy">
                  <c:v>42125</c:v>
                </c:pt>
                <c:pt idx="5" formatCode="mmm\-yy">
                  <c:v>42156</c:v>
                </c:pt>
                <c:pt idx="6" formatCode="mmm\-yy">
                  <c:v>42186</c:v>
                </c:pt>
                <c:pt idx="7" formatCode="mmm\-yy">
                  <c:v>42217</c:v>
                </c:pt>
                <c:pt idx="8" formatCode="mmm\-yy">
                  <c:v>42248</c:v>
                </c:pt>
                <c:pt idx="11" formatCode="mmm\-yy">
                  <c:v>42278</c:v>
                </c:pt>
                <c:pt idx="12" formatCode="mmm\-yy">
                  <c:v>42309</c:v>
                </c:pt>
                <c:pt idx="13" formatCode="mmm\-yy">
                  <c:v>42339</c:v>
                </c:pt>
                <c:pt idx="14" formatCode="mmm\-yy">
                  <c:v>42370</c:v>
                </c:pt>
                <c:pt idx="15" formatCode="mmm\-yy">
                  <c:v>42401</c:v>
                </c:pt>
                <c:pt idx="16" formatCode="mmm\-yy">
                  <c:v>42430</c:v>
                </c:pt>
                <c:pt idx="17" formatCode="mmm\-yy">
                  <c:v>42461</c:v>
                </c:pt>
                <c:pt idx="18" formatCode="mmm\-yy">
                  <c:v>42491</c:v>
                </c:pt>
              </c:numCache>
            </c:numRef>
          </c:cat>
          <c:val>
            <c:numRef>
              <c:f>'Fiscal Highlights'!$W$62:$W$90</c:f>
              <c:numCache>
                <c:formatCode>General</c:formatCode>
                <c:ptCount val="29"/>
                <c:pt idx="3" formatCode="&quot;$&quot;#,##0_);[Red]\(&quot;$&quot;#,##0\)">
                  <c:v>219033.57</c:v>
                </c:pt>
                <c:pt idx="4" formatCode="&quot;$&quot;#,##0_);[Red]\(&quot;$&quot;#,##0\)">
                  <c:v>216247.59</c:v>
                </c:pt>
                <c:pt idx="5" formatCode="&quot;$&quot;#,##0_);[Red]\(&quot;$&quot;#,##0\)">
                  <c:v>246281</c:v>
                </c:pt>
                <c:pt idx="6" formatCode="&quot;$&quot;#,##0_);[Red]\(&quot;$&quot;#,##0\)">
                  <c:v>271416.40000000002</c:v>
                </c:pt>
                <c:pt idx="7" formatCode="&quot;$&quot;#,##0_);[Red]\(&quot;$&quot;#,##0\)">
                  <c:v>147240.4</c:v>
                </c:pt>
                <c:pt idx="8" formatCode="&quot;$&quot;#,##0_);[Red]\(&quot;$&quot;#,##0\)">
                  <c:v>156700</c:v>
                </c:pt>
                <c:pt idx="11" formatCode="&quot;$&quot;#,##0_);[Red]\(&quot;$&quot;#,##0\)">
                  <c:v>224005.57</c:v>
                </c:pt>
                <c:pt idx="12" formatCode="&quot;$&quot;#,##0_);[Red]\(&quot;$&quot;#,##0\)">
                  <c:v>212998.66</c:v>
                </c:pt>
                <c:pt idx="13" formatCode="&quot;$&quot;#,##0_);[Red]\(&quot;$&quot;#,##0\)">
                  <c:v>256955.64</c:v>
                </c:pt>
                <c:pt idx="14" formatCode="&quot;$&quot;#,##0_);[Red]\(&quot;$&quot;#,##0\)">
                  <c:v>368765.26</c:v>
                </c:pt>
                <c:pt idx="15" formatCode="&quot;$&quot;#,##0_);[Red]\(&quot;$&quot;#,##0\)">
                  <c:v>294586.56</c:v>
                </c:pt>
                <c:pt idx="16" formatCode="&quot;$&quot;#,##0_);[Red]\(&quot;$&quot;#,##0\)">
                  <c:v>253840.62</c:v>
                </c:pt>
                <c:pt idx="17" formatCode="&quot;$&quot;#,##0_);[Red]\(&quot;$&quot;#,##0\)">
                  <c:v>291705.82</c:v>
                </c:pt>
                <c:pt idx="18" formatCode="&quot;$&quot;#,##0_);[Red]\(&quot;$&quot;#,##0\)">
                  <c:v>322796.93</c:v>
                </c:pt>
              </c:numCache>
            </c:numRef>
          </c:val>
        </c:ser>
        <c:dLbls>
          <c:showLegendKey val="0"/>
          <c:showVal val="0"/>
          <c:showCatName val="0"/>
          <c:showSerName val="0"/>
          <c:showPercent val="0"/>
          <c:showBubbleSize val="0"/>
        </c:dLbls>
        <c:gapWidth val="219"/>
        <c:overlap val="-27"/>
        <c:axId val="140486536"/>
        <c:axId val="140582072"/>
      </c:barChart>
      <c:dateAx>
        <c:axId val="1404865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82072"/>
        <c:crosses val="autoZero"/>
        <c:auto val="1"/>
        <c:lblOffset val="100"/>
        <c:baseTimeUnit val="months"/>
      </c:dateAx>
      <c:valAx>
        <c:axId val="140582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86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4</cp:revision>
  <dcterms:created xsi:type="dcterms:W3CDTF">2016-07-21T14:47:00Z</dcterms:created>
  <dcterms:modified xsi:type="dcterms:W3CDTF">2016-07-26T13:38:00Z</dcterms:modified>
</cp:coreProperties>
</file>