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2F" w:rsidRDefault="0036512F" w:rsidP="0036512F">
      <w:pPr>
        <w:pStyle w:val="Header"/>
        <w:rPr>
          <w:b/>
        </w:rPr>
      </w:pPr>
      <w:r>
        <w:rPr>
          <w:b/>
        </w:rPr>
        <w:t>Columbia County Community Healthcare Consortium, Inc.</w:t>
      </w:r>
    </w:p>
    <w:p w:rsidR="0036512F" w:rsidRDefault="0036512F" w:rsidP="0036512F">
      <w:pPr>
        <w:pStyle w:val="Header"/>
        <w:rPr>
          <w:b/>
        </w:rPr>
      </w:pPr>
      <w:r>
        <w:rPr>
          <w:b/>
        </w:rPr>
        <w:t>Executive Committee</w:t>
      </w:r>
    </w:p>
    <w:p w:rsidR="0036512F" w:rsidRDefault="0036512F" w:rsidP="0036512F">
      <w:pPr>
        <w:pStyle w:val="Header"/>
        <w:rPr>
          <w:b/>
        </w:rPr>
      </w:pPr>
      <w:r>
        <w:rPr>
          <w:b/>
        </w:rPr>
        <w:t>Notes from the meeting of August 24, 2016</w:t>
      </w:r>
    </w:p>
    <w:p w:rsidR="0036512F" w:rsidRDefault="0036512F" w:rsidP="0036512F">
      <w:pPr>
        <w:pStyle w:val="Header"/>
        <w:rPr>
          <w:b/>
        </w:rPr>
      </w:pPr>
    </w:p>
    <w:p w:rsidR="0036512F" w:rsidRDefault="0036512F" w:rsidP="0036512F">
      <w:r>
        <w:rPr>
          <w:b/>
        </w:rPr>
        <w:t xml:space="preserve">Attending Members: </w:t>
      </w:r>
      <w:r>
        <w:t>Beth Schuster, Tam Mustapha, Art Proper, Leitha Pierro, Linda Tripp, Theresa Lux</w:t>
      </w:r>
    </w:p>
    <w:p w:rsidR="0036512F" w:rsidRDefault="0036512F" w:rsidP="0036512F"/>
    <w:p w:rsidR="0036512F" w:rsidRDefault="0036512F" w:rsidP="0036512F">
      <w:r>
        <w:rPr>
          <w:b/>
        </w:rPr>
        <w:t>Absent Members:</w:t>
      </w:r>
      <w:r>
        <w:t xml:space="preserve"> Robin Andrews</w:t>
      </w:r>
    </w:p>
    <w:p w:rsidR="0036512F" w:rsidRDefault="0036512F" w:rsidP="0036512F"/>
    <w:p w:rsidR="0036512F" w:rsidRDefault="0036512F" w:rsidP="0036512F">
      <w:pPr>
        <w:rPr>
          <w:b/>
        </w:rPr>
      </w:pPr>
      <w:r>
        <w:rPr>
          <w:b/>
        </w:rPr>
        <w:t xml:space="preserve">Staff Members: </w:t>
      </w:r>
      <w:r>
        <w:t>Claire Parde, John Ray, and Aleshia Boyle</w:t>
      </w:r>
      <w:r>
        <w:rPr>
          <w:b/>
        </w:rPr>
        <w:t xml:space="preserve"> </w:t>
      </w:r>
    </w:p>
    <w:p w:rsidR="0036512F" w:rsidRDefault="0036512F" w:rsidP="0036512F"/>
    <w:p w:rsidR="0036512F" w:rsidRDefault="0036512F" w:rsidP="0036512F">
      <w:pPr>
        <w:rPr>
          <w:b/>
        </w:rPr>
      </w:pPr>
      <w:r>
        <w:rPr>
          <w:b/>
        </w:rPr>
        <w:t>CALL TO ORDER</w:t>
      </w:r>
    </w:p>
    <w:p w:rsidR="0036512F" w:rsidRDefault="0036512F" w:rsidP="0036512F">
      <w:r>
        <w:t>Meeting was called to order at 9:00 a.m. by President Beth Schuster.</w:t>
      </w:r>
    </w:p>
    <w:p w:rsidR="0036512F" w:rsidRDefault="0036512F" w:rsidP="0036512F">
      <w:pPr>
        <w:spacing w:line="276" w:lineRule="auto"/>
      </w:pPr>
    </w:p>
    <w:p w:rsidR="0036512F" w:rsidRDefault="0036512F" w:rsidP="0036512F">
      <w:pPr>
        <w:spacing w:line="276" w:lineRule="auto"/>
        <w:rPr>
          <w:u w:val="single"/>
        </w:rPr>
      </w:pPr>
      <w:r>
        <w:rPr>
          <w:u w:val="single"/>
        </w:rPr>
        <w:t>Fiscal Highlights</w:t>
      </w:r>
    </w:p>
    <w:p w:rsidR="0036512F" w:rsidRDefault="0036512F" w:rsidP="0036512F">
      <w:r>
        <w:t>John Ray presented the Fiscal Highlights report (see attached).</w:t>
      </w:r>
    </w:p>
    <w:p w:rsidR="0036512F" w:rsidRDefault="0036512F" w:rsidP="0036512F"/>
    <w:p w:rsidR="0036512F" w:rsidRDefault="0036512F" w:rsidP="00EB6B51">
      <w:r>
        <w:t xml:space="preserve">At this time, the committee discussed a draft </w:t>
      </w:r>
      <w:r w:rsidR="004207AD">
        <w:t>of a one-page fiscal</w:t>
      </w:r>
      <w:r>
        <w:t xml:space="preserve"> report </w:t>
      </w:r>
      <w:r w:rsidR="004207AD">
        <w:t xml:space="preserve">that would be used to provide regular and routine reporting on the agency’s financials at every </w:t>
      </w:r>
      <w:r w:rsidR="004E7258">
        <w:t xml:space="preserve">Board meeting. </w:t>
      </w:r>
      <w:r w:rsidR="004207AD">
        <w:t xml:space="preserve">The Committee’s response to the draft was very favorable. It will next be shared with the </w:t>
      </w:r>
      <w:r w:rsidR="004E7258">
        <w:t>Budget and Fi</w:t>
      </w:r>
      <w:r w:rsidR="00B24D27">
        <w:t xml:space="preserve">nance </w:t>
      </w:r>
      <w:r w:rsidR="004207AD">
        <w:t>Committee at their meeting in September</w:t>
      </w:r>
      <w:r w:rsidR="00B770A1">
        <w:t>.</w:t>
      </w:r>
    </w:p>
    <w:p w:rsidR="0036512F" w:rsidRDefault="0036512F" w:rsidP="0036512F"/>
    <w:p w:rsidR="0036512F" w:rsidRDefault="0036512F" w:rsidP="0036512F">
      <w:pPr>
        <w:spacing w:line="276" w:lineRule="auto"/>
      </w:pPr>
      <w:r>
        <w:rPr>
          <w:i/>
        </w:rPr>
        <w:t>Following the delivery of the Fiscal Highlights report, John Ray exited the meeting.</w:t>
      </w:r>
    </w:p>
    <w:p w:rsidR="0036512F" w:rsidRDefault="0036512F" w:rsidP="0036512F">
      <w:pPr>
        <w:spacing w:line="276" w:lineRule="auto"/>
        <w:rPr>
          <w:b/>
        </w:rPr>
      </w:pPr>
    </w:p>
    <w:p w:rsidR="0036512F" w:rsidRDefault="0036512F" w:rsidP="0036512F">
      <w:pPr>
        <w:spacing w:line="276" w:lineRule="auto"/>
        <w:rPr>
          <w:u w:val="single"/>
        </w:rPr>
      </w:pPr>
      <w:r>
        <w:rPr>
          <w:u w:val="single"/>
        </w:rPr>
        <w:t>Executive Director’s Report</w:t>
      </w:r>
    </w:p>
    <w:p w:rsidR="0036512F" w:rsidRDefault="0036512F" w:rsidP="0036512F">
      <w:pPr>
        <w:spacing w:line="276" w:lineRule="auto"/>
      </w:pPr>
      <w:r>
        <w:t xml:space="preserve">At this time, Claire presented her Executive Director’s Report (see attached). </w:t>
      </w:r>
    </w:p>
    <w:p w:rsidR="0036512F" w:rsidRDefault="0036512F" w:rsidP="0036512F">
      <w:pPr>
        <w:spacing w:line="276" w:lineRule="auto"/>
      </w:pPr>
    </w:p>
    <w:p w:rsidR="0036512F" w:rsidRDefault="0036512F" w:rsidP="0036512F">
      <w:pPr>
        <w:spacing w:line="276" w:lineRule="auto"/>
      </w:pPr>
      <w:r>
        <w:rPr>
          <w:u w:val="single"/>
        </w:rPr>
        <w:t xml:space="preserve">Discussion on Draft </w:t>
      </w:r>
      <w:r w:rsidR="00C922E6">
        <w:rPr>
          <w:u w:val="single"/>
        </w:rPr>
        <w:t>Executive Succession Plan</w:t>
      </w:r>
    </w:p>
    <w:p w:rsidR="0036512F" w:rsidRDefault="004207AD" w:rsidP="0036512F">
      <w:pPr>
        <w:spacing w:line="276" w:lineRule="auto"/>
      </w:pPr>
      <w:r>
        <w:t>M</w:t>
      </w:r>
      <w:r w:rsidR="0036512F">
        <w:t xml:space="preserve">embers discussed a Draft </w:t>
      </w:r>
      <w:r w:rsidR="00C922E6">
        <w:t>Executive Succession Plan</w:t>
      </w:r>
      <w:r w:rsidR="0036512F">
        <w:t xml:space="preserve"> and r</w:t>
      </w:r>
      <w:r w:rsidR="00C922E6">
        <w:t>ecommended some minor revisions</w:t>
      </w:r>
      <w:r w:rsidR="0036512F">
        <w:t>.</w:t>
      </w:r>
      <w:r w:rsidR="00C922E6">
        <w:t xml:space="preserve"> The recommended revisions </w:t>
      </w:r>
      <w:r w:rsidR="00C922E6">
        <w:lastRenderedPageBreak/>
        <w:t xml:space="preserve">will be made </w:t>
      </w:r>
      <w:r w:rsidR="0036512F">
        <w:t xml:space="preserve">and sent back to the Committee for </w:t>
      </w:r>
      <w:r w:rsidR="00C922E6">
        <w:t>another look. If all looks well, it will be brought to the next Board meeting on October 5</w:t>
      </w:r>
      <w:r w:rsidR="00C922E6" w:rsidRPr="00C922E6">
        <w:rPr>
          <w:vertAlign w:val="superscript"/>
        </w:rPr>
        <w:t>th</w:t>
      </w:r>
      <w:r w:rsidR="00C922E6">
        <w:t>.</w:t>
      </w:r>
    </w:p>
    <w:p w:rsidR="00C922E6" w:rsidRDefault="00C922E6" w:rsidP="0036512F">
      <w:pPr>
        <w:spacing w:line="276" w:lineRule="auto"/>
      </w:pPr>
    </w:p>
    <w:p w:rsidR="00C922E6" w:rsidRDefault="00C922E6" w:rsidP="0036512F">
      <w:pPr>
        <w:spacing w:line="276" w:lineRule="auto"/>
      </w:pPr>
      <w:r>
        <w:t xml:space="preserve">Members also reviewed two draft documents from the Governance Committee. These documents were created to help members understand their role and responsibilities on the Consortium’s Board of Directors, as well as understand the role </w:t>
      </w:r>
      <w:r w:rsidR="004207AD">
        <w:t xml:space="preserve">of </w:t>
      </w:r>
      <w:r>
        <w:t>Board Member</w:t>
      </w:r>
      <w:r w:rsidR="004207AD">
        <w:t>s</w:t>
      </w:r>
      <w:r>
        <w:t xml:space="preserve"> in the Rural Health Network. The committee was asked to review these two documents and reach out to Robin if they had any comments.  </w:t>
      </w:r>
    </w:p>
    <w:p w:rsidR="0036512F" w:rsidRDefault="0036512F" w:rsidP="0036512F">
      <w:pPr>
        <w:spacing w:line="276" w:lineRule="auto"/>
      </w:pPr>
    </w:p>
    <w:p w:rsidR="00B24D27" w:rsidRDefault="00B24D27" w:rsidP="0036512F">
      <w:pPr>
        <w:spacing w:line="276" w:lineRule="auto"/>
        <w:rPr>
          <w:u w:val="single"/>
        </w:rPr>
      </w:pPr>
      <w:r w:rsidRPr="00B24D27">
        <w:rPr>
          <w:u w:val="single"/>
        </w:rPr>
        <w:t>Executive Session to discuss senior staff evaluation of the ED</w:t>
      </w:r>
    </w:p>
    <w:p w:rsidR="00B24D27" w:rsidRPr="00B24D27" w:rsidRDefault="00B24D27" w:rsidP="00B24D27">
      <w:pPr>
        <w:jc w:val="both"/>
      </w:pPr>
      <w:r w:rsidRPr="00B24D27">
        <w:t>At 9:</w:t>
      </w:r>
      <w:r>
        <w:t>53</w:t>
      </w:r>
      <w:r w:rsidRPr="00B24D27">
        <w:t xml:space="preserve"> a.m. Claire Parde and Aleshia Boyle exited for an Executive Session about the </w:t>
      </w:r>
      <w:r>
        <w:t>senior staff’s evaluation of the Executive Director.</w:t>
      </w:r>
    </w:p>
    <w:p w:rsidR="0036512F" w:rsidRDefault="0036512F" w:rsidP="0036512F">
      <w:pPr>
        <w:spacing w:before="240" w:line="276" w:lineRule="auto"/>
        <w:rPr>
          <w:b/>
        </w:rPr>
      </w:pPr>
      <w:r>
        <w:rPr>
          <w:b/>
        </w:rPr>
        <w:t>ADJOURNMENT</w:t>
      </w:r>
    </w:p>
    <w:p w:rsidR="0036512F" w:rsidRDefault="00501874" w:rsidP="0036512F">
      <w:pPr>
        <w:spacing w:line="276" w:lineRule="auto"/>
      </w:pPr>
      <w:r>
        <w:t>After the Executive Sessions, the meeting adjourned.</w:t>
      </w:r>
    </w:p>
    <w:p w:rsidR="00501874" w:rsidRDefault="00501874" w:rsidP="0036512F">
      <w:pPr>
        <w:spacing w:line="276" w:lineRule="auto"/>
      </w:pPr>
    </w:p>
    <w:p w:rsidR="00501874" w:rsidRDefault="00501874" w:rsidP="00501874">
      <w:pPr>
        <w:jc w:val="both"/>
        <w:rPr>
          <w:b/>
        </w:rPr>
      </w:pPr>
      <w:r>
        <w:t xml:space="preserve">The next Executive Committee meeting is scheduled for </w:t>
      </w:r>
      <w:r>
        <w:rPr>
          <w:b/>
        </w:rPr>
        <w:t>September 28</w:t>
      </w:r>
      <w:r w:rsidRPr="00B24D27">
        <w:rPr>
          <w:b/>
          <w:vertAlign w:val="superscript"/>
        </w:rPr>
        <w:t>th</w:t>
      </w:r>
      <w:r>
        <w:rPr>
          <w:b/>
        </w:rPr>
        <w:t>, 2016.</w:t>
      </w:r>
    </w:p>
    <w:p w:rsidR="0036512F" w:rsidRDefault="00501874" w:rsidP="006F0FE0">
      <w:r>
        <w:rPr>
          <w:i/>
        </w:rPr>
        <w:t>Notes respectfully prepared and submitted by Aleshia Boyle on August 25, 2016.</w:t>
      </w:r>
    </w:p>
    <w:tbl>
      <w:tblPr>
        <w:tblpPr w:leftFromText="180" w:rightFromText="180" w:vertAnchor="text" w:horzAnchor="margin" w:tblpXSpec="center" w:tblpY="-1439"/>
        <w:tblW w:w="11970" w:type="dxa"/>
        <w:tblLook w:val="04A0" w:firstRow="1" w:lastRow="0" w:firstColumn="1" w:lastColumn="0" w:noHBand="0" w:noVBand="1"/>
      </w:tblPr>
      <w:tblGrid>
        <w:gridCol w:w="530"/>
        <w:gridCol w:w="2079"/>
        <w:gridCol w:w="1104"/>
        <w:gridCol w:w="2047"/>
        <w:gridCol w:w="2070"/>
        <w:gridCol w:w="1955"/>
        <w:gridCol w:w="2185"/>
      </w:tblGrid>
      <w:tr w:rsidR="00501874" w:rsidRPr="00501874" w:rsidTr="004A56C5">
        <w:trPr>
          <w:trHeight w:val="465"/>
        </w:trPr>
        <w:tc>
          <w:tcPr>
            <w:tcW w:w="11970" w:type="dxa"/>
            <w:gridSpan w:val="7"/>
            <w:tcBorders>
              <w:top w:val="nil"/>
              <w:left w:val="nil"/>
              <w:bottom w:val="nil"/>
              <w:right w:val="nil"/>
            </w:tcBorders>
            <w:shd w:val="clear" w:color="auto" w:fill="auto"/>
            <w:noWrap/>
            <w:vAlign w:val="center"/>
            <w:hideMark/>
          </w:tcPr>
          <w:p w:rsidR="00501874" w:rsidRDefault="00501874" w:rsidP="00501874">
            <w:pPr>
              <w:widowControl/>
              <w:jc w:val="center"/>
              <w:rPr>
                <w:rFonts w:ascii="Calibri" w:eastAsia="Times New Roman" w:hAnsi="Calibri" w:cs="Times New Roman"/>
                <w:b/>
                <w:bCs/>
                <w:color w:val="000000"/>
                <w:sz w:val="36"/>
                <w:szCs w:val="36"/>
              </w:rPr>
            </w:pPr>
            <w:r w:rsidRPr="00501874">
              <w:rPr>
                <w:rFonts w:ascii="Calibri" w:eastAsia="Times New Roman" w:hAnsi="Calibri" w:cs="Times New Roman"/>
                <w:b/>
                <w:bCs/>
                <w:color w:val="000000"/>
                <w:sz w:val="36"/>
                <w:szCs w:val="36"/>
              </w:rPr>
              <w:lastRenderedPageBreak/>
              <w:t xml:space="preserve">  </w:t>
            </w:r>
          </w:p>
          <w:p w:rsidR="00501874" w:rsidRPr="00501874" w:rsidRDefault="00501874" w:rsidP="00501874">
            <w:pPr>
              <w:widowControl/>
              <w:jc w:val="center"/>
              <w:rPr>
                <w:rFonts w:ascii="Calibri" w:eastAsia="Times New Roman" w:hAnsi="Calibri" w:cs="Times New Roman"/>
                <w:b/>
                <w:bCs/>
                <w:color w:val="000000"/>
                <w:sz w:val="36"/>
                <w:szCs w:val="36"/>
              </w:rPr>
            </w:pPr>
            <w:r w:rsidRPr="00501874">
              <w:rPr>
                <w:rFonts w:ascii="Calibri" w:eastAsia="Times New Roman" w:hAnsi="Calibri" w:cs="Times New Roman"/>
                <w:b/>
                <w:bCs/>
                <w:color w:val="000000"/>
                <w:sz w:val="36"/>
                <w:szCs w:val="36"/>
              </w:rPr>
              <w:t xml:space="preserve"> Fiscal Highlights</w:t>
            </w:r>
          </w:p>
        </w:tc>
      </w:tr>
      <w:tr w:rsidR="00501874" w:rsidRPr="00501874" w:rsidTr="004A56C5">
        <w:trPr>
          <w:trHeight w:val="465"/>
        </w:trPr>
        <w:tc>
          <w:tcPr>
            <w:tcW w:w="11970" w:type="dxa"/>
            <w:gridSpan w:val="7"/>
            <w:tcBorders>
              <w:top w:val="nil"/>
              <w:left w:val="nil"/>
              <w:bottom w:val="nil"/>
              <w:right w:val="nil"/>
            </w:tcBorders>
            <w:shd w:val="clear" w:color="auto" w:fill="auto"/>
            <w:noWrap/>
            <w:vAlign w:val="center"/>
            <w:hideMark/>
          </w:tcPr>
          <w:p w:rsidR="00501874" w:rsidRPr="00501874" w:rsidRDefault="00501874" w:rsidP="00501874">
            <w:pPr>
              <w:widowControl/>
              <w:jc w:val="center"/>
              <w:rPr>
                <w:rFonts w:ascii="Calibri" w:eastAsia="Times New Roman" w:hAnsi="Calibri" w:cs="Times New Roman"/>
                <w:b/>
                <w:bCs/>
                <w:color w:val="000000"/>
                <w:sz w:val="36"/>
                <w:szCs w:val="36"/>
              </w:rPr>
            </w:pPr>
            <w:r w:rsidRPr="00501874">
              <w:rPr>
                <w:rFonts w:ascii="Calibri" w:eastAsia="Times New Roman" w:hAnsi="Calibri" w:cs="Times New Roman"/>
                <w:b/>
                <w:bCs/>
                <w:color w:val="000000"/>
                <w:sz w:val="36"/>
                <w:szCs w:val="36"/>
              </w:rPr>
              <w:t>Wednesday, August 24, 2016</w:t>
            </w:r>
          </w:p>
        </w:tc>
      </w:tr>
      <w:tr w:rsidR="00501874" w:rsidRPr="00501874" w:rsidTr="004A56C5">
        <w:trPr>
          <w:trHeight w:val="315"/>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jc w:val="center"/>
              <w:rPr>
                <w:rFonts w:ascii="Wide Latin" w:eastAsia="Times New Roman" w:hAnsi="Wide Latin" w:cs="Times New Roman"/>
                <w:color w:val="000000"/>
                <w:sz w:val="24"/>
                <w:szCs w:val="24"/>
              </w:rPr>
            </w:pPr>
            <w:r w:rsidRPr="00501874">
              <w:rPr>
                <w:rFonts w:ascii="Wide Latin" w:eastAsia="Times New Roman" w:hAnsi="Wide Latin" w:cs="Times New Roman"/>
                <w:color w:val="000000"/>
                <w:sz w:val="24"/>
                <w:szCs w:val="24"/>
              </w:rPr>
              <w:t>Statement of Financial Position</w:t>
            </w:r>
          </w:p>
        </w:tc>
      </w:tr>
      <w:tr w:rsidR="00501874" w:rsidRPr="00501874" w:rsidTr="004A56C5">
        <w:trPr>
          <w:trHeight w:val="1005"/>
        </w:trPr>
        <w:tc>
          <w:tcPr>
            <w:tcW w:w="11970" w:type="dxa"/>
            <w:gridSpan w:val="7"/>
            <w:tcBorders>
              <w:top w:val="nil"/>
              <w:left w:val="nil"/>
              <w:bottom w:val="nil"/>
              <w:right w:val="nil"/>
            </w:tcBorders>
            <w:shd w:val="clear" w:color="auto" w:fill="auto"/>
            <w:hideMark/>
          </w:tcPr>
          <w:p w:rsidR="00501874" w:rsidRPr="00501874" w:rsidRDefault="00501874" w:rsidP="00501874">
            <w:pPr>
              <w:widowControl/>
              <w:ind w:left="252" w:right="366"/>
              <w:rPr>
                <w:rFonts w:ascii="Wingdings" w:eastAsia="Times New Roman" w:hAnsi="Wingdings" w:cs="Times New Roman"/>
                <w:color w:val="000000"/>
                <w:sz w:val="24"/>
                <w:szCs w:val="24"/>
              </w:rPr>
            </w:pPr>
            <w:r w:rsidRPr="00501874">
              <w:rPr>
                <w:rFonts w:ascii="Wingdings" w:eastAsia="Times New Roman" w:hAnsi="Wingdings" w:cs="Times New Roman"/>
                <w:noProof/>
                <w:color w:val="000000"/>
                <w:szCs w:val="24"/>
              </w:rPr>
              <w:drawing>
                <wp:anchor distT="0" distB="0" distL="114300" distR="114300" simplePos="0" relativeHeight="251659264" behindDoc="0" locked="0" layoutInCell="1" allowOverlap="1" wp14:anchorId="3E521767" wp14:editId="6E58A00F">
                  <wp:simplePos x="0" y="0"/>
                  <wp:positionH relativeFrom="column">
                    <wp:posOffset>342900</wp:posOffset>
                  </wp:positionH>
                  <wp:positionV relativeFrom="paragraph">
                    <wp:posOffset>619125</wp:posOffset>
                  </wp:positionV>
                  <wp:extent cx="6877050" cy="2876550"/>
                  <wp:effectExtent l="0" t="0" r="0" b="0"/>
                  <wp:wrapNone/>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Pr="00501874">
              <w:rPr>
                <w:rFonts w:ascii="Wingdings" w:eastAsia="Times New Roman" w:hAnsi="Wingdings" w:cs="Times New Roman"/>
                <w:color w:val="000000"/>
                <w:szCs w:val="24"/>
              </w:rPr>
              <w:t></w:t>
            </w:r>
            <w:r w:rsidRPr="00501874">
              <w:rPr>
                <w:rFonts w:ascii="Times New Roman" w:eastAsia="Times New Roman" w:hAnsi="Times New Roman" w:cs="Times New Roman"/>
                <w:b/>
                <w:bCs/>
                <w:color w:val="000000"/>
                <w:szCs w:val="24"/>
              </w:rPr>
              <w:t xml:space="preserve"> Cash</w:t>
            </w:r>
            <w:r w:rsidRPr="00501874">
              <w:rPr>
                <w:rFonts w:ascii="Calibri" w:eastAsia="Times New Roman" w:hAnsi="Calibri" w:cs="Times New Roman"/>
                <w:color w:val="000000"/>
                <w:szCs w:val="24"/>
              </w:rPr>
              <w:t xml:space="preserve"> </w:t>
            </w:r>
            <w:proofErr w:type="gramStart"/>
            <w:r w:rsidRPr="00501874">
              <w:rPr>
                <w:rFonts w:ascii="Calibri" w:eastAsia="Times New Roman" w:hAnsi="Calibri" w:cs="Times New Roman"/>
                <w:color w:val="000000"/>
                <w:szCs w:val="24"/>
              </w:rPr>
              <w:t>-  Cash</w:t>
            </w:r>
            <w:proofErr w:type="gramEnd"/>
            <w:r w:rsidRPr="00501874">
              <w:rPr>
                <w:rFonts w:ascii="Calibri" w:eastAsia="Times New Roman" w:hAnsi="Calibri" w:cs="Times New Roman"/>
                <w:color w:val="000000"/>
                <w:szCs w:val="24"/>
              </w:rPr>
              <w:t xml:space="preserve"> balance in the operating checking account started the year off with $316K, July 31st balance at $367K and Aug 23rd balance is $370K. Annual average balance is $320K. On March 21, 2016, we transferred $120K from checking account to Investment-Essex National Securities.</w:t>
            </w:r>
          </w:p>
        </w:tc>
      </w:tr>
      <w:tr w:rsidR="00501874" w:rsidRPr="00501874" w:rsidTr="004A56C5">
        <w:trPr>
          <w:trHeight w:val="475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Wingdings" w:eastAsia="Times New Roman" w:hAnsi="Wingdings" w:cs="Times New Roman"/>
                <w:color w:val="000000"/>
                <w:sz w:val="24"/>
                <w:szCs w:val="24"/>
              </w:rPr>
            </w:pPr>
          </w:p>
        </w:tc>
        <w:tc>
          <w:tcPr>
            <w:tcW w:w="2079"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1215"/>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color w:val="000000"/>
                <w:sz w:val="24"/>
                <w:szCs w:val="24"/>
              </w:rPr>
              <w:t xml:space="preserve"> </w:t>
            </w:r>
            <w:r w:rsidRPr="00501874">
              <w:rPr>
                <w:rFonts w:ascii="Calibri" w:eastAsia="Times New Roman" w:hAnsi="Calibri" w:cs="Times New Roman"/>
                <w:b/>
                <w:bCs/>
                <w:color w:val="000000"/>
                <w:sz w:val="24"/>
                <w:szCs w:val="24"/>
              </w:rPr>
              <w:t xml:space="preserve">Grant Receivable - </w:t>
            </w:r>
            <w:r w:rsidRPr="00501874">
              <w:rPr>
                <w:rFonts w:ascii="Calibri" w:eastAsia="Times New Roman" w:hAnsi="Calibri" w:cs="Times New Roman"/>
                <w:color w:val="000000"/>
                <w:sz w:val="24"/>
                <w:szCs w:val="24"/>
              </w:rPr>
              <w:t xml:space="preserve">  Grants receivable represents billed and unbilled amounts related to CCCHC's cost reimbursable and fee based government contracts. Amounts recorded are current in nature and represent eligible reimbursements under related contracts. At July 31, 2016, Grant Receivable is $285,264. Expectation is that we will collect on all receivables and no allowance for doubtful amounts has been recorded. Not aware of any issues on collectability.</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rPr>
                <w:rFonts w:ascii="Wingdings" w:eastAsia="Times New Roman" w:hAnsi="Wingdings"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Program</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July-16</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June-16</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Older</w:t>
            </w: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Total</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Rural Health Network Program</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19,624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52,635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72,258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Navigator Health Exchange Program</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22,306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19,854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42,161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Tobacco-Free Program</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17,170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32,730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49,899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Cancer Services Program</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13,119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9,530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16,080 </w:t>
            </w: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38,729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Transportation-Medicaid</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16,130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16,716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23,869 </w:t>
            </w: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56,716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Other Columbia County Programs</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14,450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9,683 </w:t>
            </w: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24,133 </w:t>
            </w:r>
          </w:p>
        </w:tc>
      </w:tr>
      <w:tr w:rsidR="00501874" w:rsidRPr="00501874" w:rsidTr="004A56C5">
        <w:trPr>
          <w:trHeight w:val="315"/>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Greene County DSS</w:t>
            </w:r>
          </w:p>
        </w:tc>
        <w:tc>
          <w:tcPr>
            <w:tcW w:w="2047"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1,368 </w:t>
            </w:r>
          </w:p>
        </w:tc>
        <w:tc>
          <w:tcPr>
            <w:tcW w:w="207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1,368 </w:t>
            </w:r>
          </w:p>
        </w:tc>
      </w:tr>
      <w:tr w:rsidR="00501874" w:rsidRPr="00501874" w:rsidTr="004A56C5">
        <w:trPr>
          <w:trHeight w:val="330"/>
        </w:trPr>
        <w:tc>
          <w:tcPr>
            <w:tcW w:w="530" w:type="dxa"/>
            <w:tcBorders>
              <w:top w:val="nil"/>
              <w:left w:val="nil"/>
              <w:bottom w:val="nil"/>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Total Grant Receivable</w:t>
            </w:r>
          </w:p>
        </w:tc>
        <w:tc>
          <w:tcPr>
            <w:tcW w:w="2047" w:type="dxa"/>
            <w:tcBorders>
              <w:top w:val="single" w:sz="4" w:space="0" w:color="auto"/>
              <w:left w:val="nil"/>
              <w:bottom w:val="double" w:sz="6" w:space="0" w:color="auto"/>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 $           104,167 </w:t>
            </w:r>
          </w:p>
        </w:tc>
        <w:tc>
          <w:tcPr>
            <w:tcW w:w="2070" w:type="dxa"/>
            <w:tcBorders>
              <w:top w:val="single" w:sz="4" w:space="0" w:color="auto"/>
              <w:left w:val="nil"/>
              <w:bottom w:val="double" w:sz="6" w:space="0" w:color="auto"/>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 $           141,148 </w:t>
            </w:r>
          </w:p>
        </w:tc>
        <w:tc>
          <w:tcPr>
            <w:tcW w:w="1955" w:type="dxa"/>
            <w:tcBorders>
              <w:top w:val="single" w:sz="4" w:space="0" w:color="auto"/>
              <w:left w:val="nil"/>
              <w:bottom w:val="double" w:sz="6" w:space="0" w:color="auto"/>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 $             39,950 </w:t>
            </w:r>
          </w:p>
        </w:tc>
        <w:tc>
          <w:tcPr>
            <w:tcW w:w="2185" w:type="dxa"/>
            <w:tcBorders>
              <w:top w:val="single" w:sz="4" w:space="0" w:color="auto"/>
              <w:left w:val="nil"/>
              <w:bottom w:val="double" w:sz="6" w:space="0" w:color="auto"/>
              <w:right w:val="nil"/>
            </w:tcBorders>
            <w:shd w:val="clear" w:color="auto" w:fill="auto"/>
            <w:vAlign w:val="bottom"/>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 $            285,264 </w:t>
            </w:r>
          </w:p>
        </w:tc>
      </w:tr>
      <w:tr w:rsidR="00501874" w:rsidRPr="00501874" w:rsidTr="004A56C5">
        <w:trPr>
          <w:trHeight w:val="195"/>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p>
        </w:tc>
        <w:tc>
          <w:tcPr>
            <w:tcW w:w="2079"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454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1440" w:type="dxa"/>
            <w:gridSpan w:val="6"/>
            <w:tcBorders>
              <w:top w:val="nil"/>
              <w:left w:val="nil"/>
              <w:bottom w:val="nil"/>
              <w:right w:val="nil"/>
            </w:tcBorders>
            <w:shd w:val="clear" w:color="auto" w:fill="auto"/>
            <w:hideMark/>
          </w:tcPr>
          <w:p w:rsidR="00501874" w:rsidRPr="00501874" w:rsidRDefault="00501874" w:rsidP="00501874">
            <w:pPr>
              <w:widowControl/>
              <w:rPr>
                <w:rFonts w:ascii="Wingdings" w:eastAsia="Times New Roman" w:hAnsi="Wingdings" w:cs="Times New Roman"/>
                <w:color w:val="000000"/>
                <w:sz w:val="24"/>
                <w:szCs w:val="24"/>
              </w:rPr>
            </w:pPr>
            <w:r w:rsidRPr="00501874">
              <w:rPr>
                <w:rFonts w:ascii="Wingdings" w:eastAsia="Times New Roman" w:hAnsi="Wingdings" w:cs="Times New Roman"/>
                <w:noProof/>
                <w:color w:val="000000"/>
                <w:sz w:val="24"/>
                <w:szCs w:val="24"/>
              </w:rPr>
              <w:drawing>
                <wp:anchor distT="0" distB="0" distL="114300" distR="114300" simplePos="0" relativeHeight="251660288" behindDoc="0" locked="0" layoutInCell="1" allowOverlap="1" wp14:anchorId="057B07E4" wp14:editId="5BEA66FB">
                  <wp:simplePos x="0" y="0"/>
                  <wp:positionH relativeFrom="column">
                    <wp:posOffset>133350</wp:posOffset>
                  </wp:positionH>
                  <wp:positionV relativeFrom="paragraph">
                    <wp:posOffset>66675</wp:posOffset>
                  </wp:positionV>
                  <wp:extent cx="6334125" cy="2762250"/>
                  <wp:effectExtent l="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c>
      </w:tr>
      <w:tr w:rsidR="00501874" w:rsidRPr="00501874" w:rsidTr="004A56C5">
        <w:trPr>
          <w:trHeight w:val="615"/>
        </w:trPr>
        <w:tc>
          <w:tcPr>
            <w:tcW w:w="11970" w:type="dxa"/>
            <w:gridSpan w:val="7"/>
            <w:tcBorders>
              <w:top w:val="nil"/>
              <w:left w:val="nil"/>
              <w:bottom w:val="nil"/>
              <w:right w:val="nil"/>
            </w:tcBorders>
            <w:shd w:val="clear" w:color="auto" w:fill="auto"/>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b/>
                <w:bCs/>
                <w:color w:val="000000"/>
                <w:sz w:val="24"/>
                <w:szCs w:val="24"/>
              </w:rPr>
              <w:t xml:space="preserve"> Investment - </w:t>
            </w:r>
            <w:proofErr w:type="spellStart"/>
            <w:r w:rsidRPr="00501874">
              <w:rPr>
                <w:rFonts w:ascii="Times New Roman" w:eastAsia="Times New Roman" w:hAnsi="Times New Roman" w:cs="Times New Roman"/>
                <w:b/>
                <w:bCs/>
                <w:color w:val="000000"/>
                <w:sz w:val="24"/>
                <w:szCs w:val="24"/>
              </w:rPr>
              <w:t>Infinex</w:t>
            </w:r>
            <w:proofErr w:type="spellEnd"/>
            <w:r w:rsidRPr="00501874">
              <w:rPr>
                <w:rFonts w:ascii="Times New Roman" w:eastAsia="Times New Roman" w:hAnsi="Times New Roman" w:cs="Times New Roman"/>
                <w:b/>
                <w:bCs/>
                <w:color w:val="000000"/>
                <w:sz w:val="24"/>
                <w:szCs w:val="24"/>
              </w:rPr>
              <w:t xml:space="preserve"> Financial Group</w:t>
            </w:r>
            <w:r w:rsidRPr="00501874">
              <w:rPr>
                <w:rFonts w:ascii="Calibri" w:eastAsia="Times New Roman" w:hAnsi="Calibri" w:cs="Times New Roman"/>
                <w:color w:val="000000"/>
                <w:sz w:val="24"/>
                <w:szCs w:val="24"/>
              </w:rPr>
              <w:t xml:space="preserve"> - As of July 31, 2016, account value is $151,611 with YTD Investment Income of $85 and Unrealized Gain of $481</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rPr>
                <w:rFonts w:ascii="Wingdings" w:eastAsia="Times New Roman" w:hAnsi="Wingdings" w:cs="Times New Roman"/>
                <w:color w:val="000000"/>
                <w:sz w:val="24"/>
                <w:szCs w:val="24"/>
              </w:rPr>
            </w:pPr>
          </w:p>
        </w:tc>
        <w:tc>
          <w:tcPr>
            <w:tcW w:w="2079" w:type="dxa"/>
            <w:tcBorders>
              <w:top w:val="single" w:sz="8" w:space="0" w:color="auto"/>
              <w:left w:val="single" w:sz="8" w:space="0" w:color="auto"/>
              <w:bottom w:val="nil"/>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b/>
                <w:bCs/>
                <w:color w:val="000000"/>
              </w:rPr>
            </w:pPr>
            <w:r w:rsidRPr="00501874">
              <w:rPr>
                <w:rFonts w:ascii="Calibri" w:eastAsia="Times New Roman" w:hAnsi="Calibri" w:cs="Times New Roman"/>
                <w:b/>
                <w:bCs/>
                <w:color w:val="000000"/>
              </w:rPr>
              <w:t> </w:t>
            </w:r>
          </w:p>
        </w:tc>
        <w:tc>
          <w:tcPr>
            <w:tcW w:w="3151" w:type="dxa"/>
            <w:gridSpan w:val="2"/>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Investment Description</w:t>
            </w:r>
          </w:p>
        </w:tc>
        <w:tc>
          <w:tcPr>
            <w:tcW w:w="2070" w:type="dxa"/>
            <w:tcBorders>
              <w:top w:val="single" w:sz="8" w:space="0" w:color="auto"/>
              <w:left w:val="nil"/>
              <w:bottom w:val="nil"/>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Number of</w:t>
            </w:r>
          </w:p>
        </w:tc>
        <w:tc>
          <w:tcPr>
            <w:tcW w:w="1955" w:type="dxa"/>
            <w:tcBorders>
              <w:top w:val="single" w:sz="8" w:space="0" w:color="auto"/>
              <w:left w:val="nil"/>
              <w:bottom w:val="nil"/>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b/>
                <w:bCs/>
                <w:color w:val="000000"/>
              </w:rPr>
            </w:pPr>
            <w:r w:rsidRPr="00501874">
              <w:rPr>
                <w:rFonts w:ascii="Calibri" w:eastAsia="Times New Roman" w:hAnsi="Calibri" w:cs="Times New Roman"/>
                <w:b/>
                <w:bCs/>
                <w:color w:val="000000"/>
              </w:rPr>
              <w:t> </w:t>
            </w:r>
          </w:p>
        </w:tc>
        <w:tc>
          <w:tcPr>
            <w:tcW w:w="2185" w:type="dxa"/>
            <w:tcBorders>
              <w:top w:val="single" w:sz="8" w:space="0" w:color="auto"/>
              <w:left w:val="nil"/>
              <w:bottom w:val="nil"/>
              <w:right w:val="single" w:sz="8"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b/>
                <w:bCs/>
                <w:color w:val="000000"/>
              </w:rPr>
            </w:pPr>
            <w:r w:rsidRPr="00501874">
              <w:rPr>
                <w:rFonts w:ascii="Calibri" w:eastAsia="Times New Roman" w:hAnsi="Calibri" w:cs="Times New Roman"/>
                <w:b/>
                <w:bCs/>
                <w:color w:val="000000"/>
              </w:rPr>
              <w:t>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b/>
                <w:bCs/>
                <w:color w:val="000000"/>
              </w:rPr>
            </w:pPr>
          </w:p>
        </w:tc>
        <w:tc>
          <w:tcPr>
            <w:tcW w:w="2079" w:type="dxa"/>
            <w:tcBorders>
              <w:top w:val="nil"/>
              <w:left w:val="single" w:sz="8" w:space="0" w:color="auto"/>
              <w:bottom w:val="nil"/>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Security</w:t>
            </w:r>
          </w:p>
        </w:tc>
        <w:tc>
          <w:tcPr>
            <w:tcW w:w="3151" w:type="dxa"/>
            <w:gridSpan w:val="2"/>
            <w:vMerge/>
            <w:tcBorders>
              <w:top w:val="nil"/>
              <w:left w:val="single" w:sz="8" w:space="0" w:color="auto"/>
              <w:bottom w:val="nil"/>
              <w:right w:val="single" w:sz="4" w:space="0" w:color="auto"/>
            </w:tcBorders>
            <w:vAlign w:val="center"/>
            <w:hideMark/>
          </w:tcPr>
          <w:p w:rsidR="00501874" w:rsidRPr="00501874" w:rsidRDefault="00501874" w:rsidP="00501874">
            <w:pPr>
              <w:widowControl/>
              <w:rPr>
                <w:rFonts w:ascii="Calibri" w:eastAsia="Times New Roman" w:hAnsi="Calibri" w:cs="Times New Roman"/>
                <w:b/>
                <w:bCs/>
                <w:color w:val="000000"/>
              </w:rPr>
            </w:pPr>
          </w:p>
        </w:tc>
        <w:tc>
          <w:tcPr>
            <w:tcW w:w="2070" w:type="dxa"/>
            <w:tcBorders>
              <w:top w:val="nil"/>
              <w:left w:val="nil"/>
              <w:bottom w:val="nil"/>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Shares</w:t>
            </w:r>
          </w:p>
        </w:tc>
        <w:tc>
          <w:tcPr>
            <w:tcW w:w="1955" w:type="dxa"/>
            <w:tcBorders>
              <w:top w:val="nil"/>
              <w:left w:val="nil"/>
              <w:bottom w:val="nil"/>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 xml:space="preserve">Market </w:t>
            </w:r>
          </w:p>
        </w:tc>
        <w:tc>
          <w:tcPr>
            <w:tcW w:w="2185" w:type="dxa"/>
            <w:tcBorders>
              <w:top w:val="nil"/>
              <w:left w:val="nil"/>
              <w:bottom w:val="nil"/>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Cost Basis</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p>
        </w:tc>
        <w:tc>
          <w:tcPr>
            <w:tcW w:w="2079" w:type="dxa"/>
            <w:tcBorders>
              <w:top w:val="nil"/>
              <w:left w:val="single" w:sz="8" w:space="0" w:color="auto"/>
              <w:bottom w:val="single" w:sz="8"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ID</w:t>
            </w:r>
          </w:p>
        </w:tc>
        <w:tc>
          <w:tcPr>
            <w:tcW w:w="3151" w:type="dxa"/>
            <w:gridSpan w:val="2"/>
            <w:vMerge/>
            <w:tcBorders>
              <w:top w:val="nil"/>
              <w:left w:val="single" w:sz="8" w:space="0" w:color="auto"/>
              <w:bottom w:val="single" w:sz="8" w:space="0" w:color="auto"/>
              <w:right w:val="single" w:sz="4" w:space="0" w:color="auto"/>
            </w:tcBorders>
            <w:vAlign w:val="center"/>
            <w:hideMark/>
          </w:tcPr>
          <w:p w:rsidR="00501874" w:rsidRPr="00501874" w:rsidRDefault="00501874" w:rsidP="00501874">
            <w:pPr>
              <w:widowControl/>
              <w:rPr>
                <w:rFonts w:ascii="Calibri" w:eastAsia="Times New Roman" w:hAnsi="Calibri" w:cs="Times New Roman"/>
                <w:b/>
                <w:bCs/>
                <w:color w:val="000000"/>
              </w:rPr>
            </w:pPr>
          </w:p>
        </w:tc>
        <w:tc>
          <w:tcPr>
            <w:tcW w:w="2070" w:type="dxa"/>
            <w:tcBorders>
              <w:top w:val="nil"/>
              <w:left w:val="nil"/>
              <w:bottom w:val="single" w:sz="8"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Purchased</w:t>
            </w:r>
          </w:p>
        </w:tc>
        <w:tc>
          <w:tcPr>
            <w:tcW w:w="1955" w:type="dxa"/>
            <w:tcBorders>
              <w:top w:val="nil"/>
              <w:left w:val="nil"/>
              <w:bottom w:val="single" w:sz="8"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Value</w:t>
            </w:r>
          </w:p>
        </w:tc>
        <w:tc>
          <w:tcPr>
            <w:tcW w:w="2185" w:type="dxa"/>
            <w:tcBorders>
              <w:top w:val="nil"/>
              <w:left w:val="nil"/>
              <w:bottom w:val="single" w:sz="8"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 xml:space="preserve"> per Share</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TEGBX</w:t>
            </w:r>
          </w:p>
        </w:tc>
        <w:tc>
          <w:tcPr>
            <w:tcW w:w="3151" w:type="dxa"/>
            <w:gridSpan w:val="2"/>
            <w:tcBorders>
              <w:top w:val="single" w:sz="8"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Templeton Global Bond Fund Class C</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524.546</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$5,917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$11.45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FSGCX</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 xml:space="preserve">Franklin Templeton Strategic Income Fund </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639.672</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$6,096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$9.40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FCSCX</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 xml:space="preserve">Franklin Adjustable US </w:t>
            </w:r>
            <w:proofErr w:type="spellStart"/>
            <w:r w:rsidRPr="00501874">
              <w:rPr>
                <w:rFonts w:ascii="Calibri" w:eastAsia="Times New Roman" w:hAnsi="Calibri" w:cs="Times New Roman"/>
                <w:color w:val="000000"/>
                <w:sz w:val="18"/>
                <w:szCs w:val="18"/>
              </w:rPr>
              <w:t>Govt</w:t>
            </w:r>
            <w:proofErr w:type="spellEnd"/>
            <w:r w:rsidRPr="00501874">
              <w:rPr>
                <w:rFonts w:ascii="Calibri" w:eastAsia="Times New Roman" w:hAnsi="Calibri" w:cs="Times New Roman"/>
                <w:color w:val="000000"/>
                <w:sz w:val="18"/>
                <w:szCs w:val="18"/>
              </w:rPr>
              <w:t xml:space="preserve"> Securities Fund</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713.199</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$5,998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$8.42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FRGSX</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Franklin Growth Fund Class C</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87.614</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$6,309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$68.48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FRUGX</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Franklin US Government Securities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949.944</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$5,994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$6.33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FCISX</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Franklin Income Fund Class C</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2753.079</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$6,222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$2.19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b/>
                <w:bCs/>
                <w:color w:val="000000"/>
              </w:rPr>
            </w:pPr>
            <w:r w:rsidRPr="00501874">
              <w:rPr>
                <w:rFonts w:ascii="Calibri" w:eastAsia="Times New Roman" w:hAnsi="Calibri" w:cs="Times New Roman"/>
                <w:b/>
                <w:bCs/>
                <w:color w:val="000000"/>
              </w:rPr>
              <w:t> </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Frederick County Bancorp CD-Mat. 11/23/16</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$38,006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315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18"/>
                <w:szCs w:val="18"/>
              </w:rPr>
            </w:pPr>
            <w:r w:rsidRPr="00501874">
              <w:rPr>
                <w:rFonts w:ascii="Calibri" w:eastAsia="Times New Roman" w:hAnsi="Calibri" w:cs="Times New Roman"/>
                <w:color w:val="000000"/>
                <w:sz w:val="18"/>
                <w:szCs w:val="18"/>
              </w:rPr>
              <w:t>People's United Bank CD-Mat. 08/25/16</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$37,000 </w:t>
            </w:r>
          </w:p>
        </w:tc>
        <w:tc>
          <w:tcPr>
            <w:tcW w:w="2185" w:type="dxa"/>
            <w:tcBorders>
              <w:top w:val="nil"/>
              <w:left w:val="nil"/>
              <w:bottom w:val="single" w:sz="4" w:space="0" w:color="auto"/>
              <w:right w:val="single" w:sz="8"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8" w:space="0" w:color="auto"/>
              <w:bottom w:val="single" w:sz="8"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3151" w:type="dxa"/>
            <w:gridSpan w:val="2"/>
            <w:tcBorders>
              <w:top w:val="single" w:sz="4" w:space="0" w:color="auto"/>
              <w:left w:val="nil"/>
              <w:bottom w:val="single" w:sz="8" w:space="0" w:color="auto"/>
              <w:right w:val="single" w:sz="4" w:space="0" w:color="000000"/>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Cash</w:t>
            </w:r>
          </w:p>
        </w:tc>
        <w:tc>
          <w:tcPr>
            <w:tcW w:w="2070" w:type="dxa"/>
            <w:tcBorders>
              <w:top w:val="nil"/>
              <w:left w:val="nil"/>
              <w:bottom w:val="single" w:sz="8"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8" w:space="0" w:color="auto"/>
              <w:right w:val="single" w:sz="4" w:space="0" w:color="auto"/>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$40,070 </w:t>
            </w:r>
          </w:p>
        </w:tc>
        <w:tc>
          <w:tcPr>
            <w:tcW w:w="2185" w:type="dxa"/>
            <w:tcBorders>
              <w:top w:val="nil"/>
              <w:left w:val="nil"/>
              <w:bottom w:val="single" w:sz="8" w:space="0" w:color="auto"/>
              <w:right w:val="single" w:sz="8"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r>
      <w:tr w:rsidR="00501874" w:rsidRPr="00501874" w:rsidTr="004A56C5">
        <w:trPr>
          <w:trHeight w:val="10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Totals</w:t>
            </w: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p>
        </w:tc>
        <w:tc>
          <w:tcPr>
            <w:tcW w:w="1955" w:type="dxa"/>
            <w:tcBorders>
              <w:top w:val="single" w:sz="4" w:space="0" w:color="auto"/>
              <w:left w:val="nil"/>
              <w:bottom w:val="double" w:sz="6" w:space="0" w:color="auto"/>
              <w:right w:val="nil"/>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xml:space="preserve">$151,611 </w:t>
            </w:r>
          </w:p>
        </w:tc>
        <w:tc>
          <w:tcPr>
            <w:tcW w:w="2185" w:type="dxa"/>
            <w:tcBorders>
              <w:top w:val="nil"/>
              <w:left w:val="nil"/>
              <w:bottom w:val="nil"/>
              <w:right w:val="nil"/>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sz w:val="24"/>
                <w:szCs w:val="24"/>
              </w:rPr>
            </w:pPr>
            <w:r w:rsidRPr="00501874">
              <w:rPr>
                <w:rFonts w:ascii="Calibri" w:eastAsia="Times New Roman" w:hAnsi="Calibri" w:cs="Times New Roman"/>
                <w:b/>
                <w:bCs/>
                <w:color w:val="000000"/>
                <w:sz w:val="24"/>
                <w:szCs w:val="24"/>
              </w:rPr>
              <w:t>Date</w:t>
            </w:r>
          </w:p>
        </w:tc>
        <w:tc>
          <w:tcPr>
            <w:tcW w:w="5221" w:type="dxa"/>
            <w:gridSpan w:val="3"/>
            <w:tcBorders>
              <w:top w:val="single" w:sz="4" w:space="0" w:color="auto"/>
              <w:left w:val="nil"/>
              <w:bottom w:val="nil"/>
              <w:right w:val="single" w:sz="4" w:space="0" w:color="000000"/>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Transaction</w:t>
            </w:r>
          </w:p>
        </w:tc>
        <w:tc>
          <w:tcPr>
            <w:tcW w:w="1955" w:type="dxa"/>
            <w:tcBorders>
              <w:top w:val="single" w:sz="4" w:space="0" w:color="auto"/>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 xml:space="preserve">Cash Transaction </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Cash Balance</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7/31/2016</w:t>
            </w:r>
          </w:p>
        </w:tc>
        <w:tc>
          <w:tcPr>
            <w:tcW w:w="1104" w:type="dxa"/>
            <w:tcBorders>
              <w:top w:val="single" w:sz="4" w:space="0" w:color="auto"/>
              <w:left w:val="nil"/>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Cash Available</w:t>
            </w:r>
          </w:p>
        </w:tc>
        <w:tc>
          <w:tcPr>
            <w:tcW w:w="2047" w:type="dxa"/>
            <w:tcBorders>
              <w:top w:val="single" w:sz="4" w:space="0" w:color="auto"/>
              <w:left w:val="nil"/>
              <w:bottom w:val="single" w:sz="4" w:space="0" w:color="auto"/>
              <w:right w:val="nil"/>
            </w:tcBorders>
            <w:shd w:val="clear" w:color="auto" w:fill="auto"/>
            <w:noWrap/>
            <w:vAlign w:val="bottom"/>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40,070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8/25/2016</w:t>
            </w:r>
          </w:p>
        </w:tc>
        <w:tc>
          <w:tcPr>
            <w:tcW w:w="522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Maturity of People's United Bank- CD (Rate 0.40%)</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37,000 </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77,070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8/25/2016</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65,070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9/26/2016</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53,070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10/25/2016</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41,070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11/23/2016</w:t>
            </w:r>
          </w:p>
        </w:tc>
        <w:tc>
          <w:tcPr>
            <w:tcW w:w="5221"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 xml:space="preserve">Maturity of </w:t>
            </w:r>
            <w:proofErr w:type="spellStart"/>
            <w:r w:rsidRPr="00501874">
              <w:rPr>
                <w:rFonts w:ascii="Calibri" w:eastAsia="Times New Roman" w:hAnsi="Calibri" w:cs="Times New Roman"/>
                <w:color w:val="000000"/>
                <w:sz w:val="24"/>
                <w:szCs w:val="24"/>
              </w:rPr>
              <w:t>Federick</w:t>
            </w:r>
            <w:proofErr w:type="spellEnd"/>
            <w:r w:rsidRPr="00501874">
              <w:rPr>
                <w:rFonts w:ascii="Calibri" w:eastAsia="Times New Roman" w:hAnsi="Calibri" w:cs="Times New Roman"/>
                <w:color w:val="000000"/>
                <w:sz w:val="24"/>
                <w:szCs w:val="24"/>
              </w:rPr>
              <w:t xml:space="preserve"> County Bancorp - CD (Rate 0.45%)</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38,006 </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79,076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11/25/2016</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67,076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12/26/2016</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55,076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1/25/2017</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43,076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2/27/2017</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31,076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3/27/2017</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19,076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4/25/2017</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(12,000)</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7,076 </w:t>
            </w:r>
          </w:p>
        </w:tc>
      </w:tr>
      <w:tr w:rsidR="00501874" w:rsidRPr="00501874" w:rsidTr="004A56C5">
        <w:trPr>
          <w:trHeight w:val="315"/>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5/25/2017</w:t>
            </w:r>
          </w:p>
        </w:tc>
        <w:tc>
          <w:tcPr>
            <w:tcW w:w="3151" w:type="dxa"/>
            <w:gridSpan w:val="2"/>
            <w:tcBorders>
              <w:top w:val="single" w:sz="4" w:space="0" w:color="auto"/>
              <w:left w:val="single" w:sz="4" w:space="0" w:color="auto"/>
              <w:bottom w:val="single" w:sz="4" w:space="0" w:color="auto"/>
              <w:right w:val="nil"/>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sz w:val="24"/>
                <w:szCs w:val="24"/>
              </w:rPr>
            </w:pPr>
            <w:r w:rsidRPr="00501874">
              <w:rPr>
                <w:rFonts w:ascii="Calibri" w:eastAsia="Times New Roman" w:hAnsi="Calibri" w:cs="Times New Roman"/>
                <w:color w:val="000000"/>
                <w:sz w:val="24"/>
                <w:szCs w:val="24"/>
              </w:rPr>
              <w:t>Investment in Mutual Funds</w:t>
            </w:r>
          </w:p>
        </w:tc>
        <w:tc>
          <w:tcPr>
            <w:tcW w:w="2070"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w:t>
            </w:r>
          </w:p>
        </w:tc>
        <w:tc>
          <w:tcPr>
            <w:tcW w:w="195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(7,076)</w:t>
            </w:r>
          </w:p>
        </w:tc>
        <w:tc>
          <w:tcPr>
            <w:tcW w:w="2185" w:type="dxa"/>
            <w:tcBorders>
              <w:top w:val="nil"/>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945"/>
        </w:trPr>
        <w:tc>
          <w:tcPr>
            <w:tcW w:w="11970" w:type="dxa"/>
            <w:gridSpan w:val="7"/>
            <w:tcBorders>
              <w:top w:val="nil"/>
              <w:left w:val="nil"/>
              <w:bottom w:val="nil"/>
              <w:right w:val="nil"/>
            </w:tcBorders>
            <w:shd w:val="clear" w:color="auto" w:fill="auto"/>
            <w:vAlign w:val="center"/>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b/>
                <w:bCs/>
                <w:color w:val="000000"/>
                <w:sz w:val="24"/>
                <w:szCs w:val="24"/>
              </w:rPr>
              <w:t xml:space="preserve"> Prepaid Expenses</w:t>
            </w:r>
            <w:r w:rsidRPr="00501874">
              <w:rPr>
                <w:rFonts w:ascii="Calibri" w:eastAsia="Times New Roman" w:hAnsi="Calibri" w:cs="Times New Roman"/>
                <w:color w:val="000000"/>
                <w:sz w:val="24"/>
                <w:szCs w:val="24"/>
              </w:rPr>
              <w:t xml:space="preserve"> - At July 31, 2016, total prepaid expenses totaled $7,349 which consisted of General Insurance, Disability Insurance, Offsite Back-up Storage, Gift Cards, Deposits, Postage.</w:t>
            </w:r>
          </w:p>
        </w:tc>
      </w:tr>
      <w:tr w:rsidR="00501874" w:rsidRPr="00501874" w:rsidTr="004A56C5">
        <w:trPr>
          <w:trHeight w:val="612"/>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b/>
                <w:bCs/>
                <w:color w:val="000000"/>
                <w:sz w:val="24"/>
                <w:szCs w:val="24"/>
              </w:rPr>
              <w:t xml:space="preserve"> Equipment, Furniture &amp; Vehicles</w:t>
            </w:r>
            <w:r w:rsidRPr="00501874">
              <w:rPr>
                <w:rFonts w:ascii="Calibri" w:eastAsia="Times New Roman" w:hAnsi="Calibri" w:cs="Times New Roman"/>
                <w:color w:val="000000"/>
                <w:sz w:val="24"/>
                <w:szCs w:val="24"/>
              </w:rPr>
              <w:t xml:space="preserve"> -Agency purchased the following capital equipment. Also, Jim Funk, Transportation Coordinator, looking on NYS contract with hopes of purchasing a new vehicle.</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rPr>
                <w:rFonts w:ascii="Wingdings" w:eastAsia="Times New Roman" w:hAnsi="Wingdings" w:cs="Times New Roman"/>
                <w:color w:val="000000"/>
                <w:sz w:val="24"/>
                <w:szCs w:val="24"/>
              </w:rPr>
            </w:pPr>
          </w:p>
        </w:tc>
        <w:tc>
          <w:tcPr>
            <w:tcW w:w="2079" w:type="dxa"/>
            <w:tcBorders>
              <w:top w:val="single" w:sz="4" w:space="0" w:color="auto"/>
              <w:left w:val="single" w:sz="4" w:space="0" w:color="auto"/>
              <w:bottom w:val="single" w:sz="4" w:space="0" w:color="auto"/>
              <w:right w:val="single" w:sz="4" w:space="0" w:color="auto"/>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Month in Service</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Funding Source</w:t>
            </w:r>
          </w:p>
        </w:tc>
        <w:tc>
          <w:tcPr>
            <w:tcW w:w="2047" w:type="dxa"/>
            <w:tcBorders>
              <w:top w:val="single" w:sz="4" w:space="0" w:color="auto"/>
              <w:left w:val="nil"/>
              <w:bottom w:val="single" w:sz="4" w:space="0" w:color="auto"/>
              <w:right w:val="single" w:sz="4" w:space="0" w:color="auto"/>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Supplier</w:t>
            </w:r>
          </w:p>
        </w:tc>
        <w:tc>
          <w:tcPr>
            <w:tcW w:w="4025" w:type="dxa"/>
            <w:gridSpan w:val="2"/>
            <w:tcBorders>
              <w:top w:val="single" w:sz="4" w:space="0" w:color="auto"/>
              <w:left w:val="nil"/>
              <w:bottom w:val="single" w:sz="4" w:space="0" w:color="auto"/>
              <w:right w:val="single" w:sz="4" w:space="0" w:color="auto"/>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Description</w:t>
            </w:r>
          </w:p>
        </w:tc>
        <w:tc>
          <w:tcPr>
            <w:tcW w:w="2185" w:type="dxa"/>
            <w:tcBorders>
              <w:top w:val="single" w:sz="4" w:space="0" w:color="auto"/>
              <w:left w:val="nil"/>
              <w:bottom w:val="single" w:sz="4" w:space="0" w:color="auto"/>
              <w:right w:val="single" w:sz="4" w:space="0" w:color="auto"/>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r w:rsidRPr="00501874">
              <w:rPr>
                <w:rFonts w:ascii="Calibri" w:eastAsia="Times New Roman" w:hAnsi="Calibri" w:cs="Times New Roman"/>
                <w:b/>
                <w:bCs/>
                <w:color w:val="000000"/>
              </w:rPr>
              <w:t>Cost</w:t>
            </w:r>
          </w:p>
        </w:tc>
      </w:tr>
      <w:tr w:rsidR="00501874" w:rsidRPr="00501874" w:rsidTr="004A56C5">
        <w:trPr>
          <w:trHeight w:val="6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b/>
                <w:bCs/>
                <w:color w:val="000000"/>
              </w:rPr>
            </w:pP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Apr-16</w:t>
            </w:r>
          </w:p>
        </w:tc>
        <w:tc>
          <w:tcPr>
            <w:tcW w:w="1104" w:type="dxa"/>
            <w:tcBorders>
              <w:top w:val="nil"/>
              <w:left w:val="nil"/>
              <w:bottom w:val="single" w:sz="4" w:space="0" w:color="auto"/>
              <w:right w:val="single" w:sz="4" w:space="0" w:color="auto"/>
            </w:tcBorders>
            <w:shd w:val="clear" w:color="auto" w:fill="auto"/>
            <w:noWrap/>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OFA: NY Connects</w:t>
            </w:r>
          </w:p>
        </w:tc>
        <w:tc>
          <w:tcPr>
            <w:tcW w:w="2047"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Intelligent Tech Solutions </w:t>
            </w:r>
          </w:p>
        </w:tc>
        <w:tc>
          <w:tcPr>
            <w:tcW w:w="4025" w:type="dxa"/>
            <w:gridSpan w:val="2"/>
            <w:tcBorders>
              <w:top w:val="single" w:sz="4" w:space="0" w:color="auto"/>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Dell </w:t>
            </w:r>
            <w:proofErr w:type="spellStart"/>
            <w:r w:rsidRPr="00501874">
              <w:rPr>
                <w:rFonts w:ascii="Calibri" w:eastAsia="Times New Roman" w:hAnsi="Calibri" w:cs="Times New Roman"/>
                <w:color w:val="000000"/>
              </w:rPr>
              <w:t>Optiplex</w:t>
            </w:r>
            <w:proofErr w:type="spellEnd"/>
            <w:r w:rsidRPr="00501874">
              <w:rPr>
                <w:rFonts w:ascii="Calibri" w:eastAsia="Times New Roman" w:hAnsi="Calibri" w:cs="Times New Roman"/>
                <w:color w:val="000000"/>
              </w:rPr>
              <w:t xml:space="preserve"> 9030 Computer</w:t>
            </w:r>
          </w:p>
        </w:tc>
        <w:tc>
          <w:tcPr>
            <w:tcW w:w="2185"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                        1,343 </w:t>
            </w:r>
          </w:p>
        </w:tc>
      </w:tr>
      <w:tr w:rsidR="00501874" w:rsidRPr="00501874" w:rsidTr="004A56C5">
        <w:trPr>
          <w:trHeight w:val="6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Apr-16</w:t>
            </w:r>
          </w:p>
        </w:tc>
        <w:tc>
          <w:tcPr>
            <w:tcW w:w="1104" w:type="dxa"/>
            <w:tcBorders>
              <w:top w:val="nil"/>
              <w:left w:val="nil"/>
              <w:bottom w:val="single" w:sz="4" w:space="0" w:color="auto"/>
              <w:right w:val="single" w:sz="4" w:space="0" w:color="auto"/>
            </w:tcBorders>
            <w:shd w:val="clear" w:color="auto" w:fill="auto"/>
            <w:noWrap/>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OFA: NYC - EEP</w:t>
            </w:r>
          </w:p>
        </w:tc>
        <w:tc>
          <w:tcPr>
            <w:tcW w:w="2047"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Intelligent Tech Solutions </w:t>
            </w:r>
          </w:p>
        </w:tc>
        <w:tc>
          <w:tcPr>
            <w:tcW w:w="4025" w:type="dxa"/>
            <w:gridSpan w:val="2"/>
            <w:tcBorders>
              <w:top w:val="single" w:sz="4" w:space="0" w:color="auto"/>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Dell </w:t>
            </w:r>
            <w:proofErr w:type="spellStart"/>
            <w:r w:rsidRPr="00501874">
              <w:rPr>
                <w:rFonts w:ascii="Calibri" w:eastAsia="Times New Roman" w:hAnsi="Calibri" w:cs="Times New Roman"/>
                <w:color w:val="000000"/>
              </w:rPr>
              <w:t>Optiplex</w:t>
            </w:r>
            <w:proofErr w:type="spellEnd"/>
            <w:r w:rsidRPr="00501874">
              <w:rPr>
                <w:rFonts w:ascii="Calibri" w:eastAsia="Times New Roman" w:hAnsi="Calibri" w:cs="Times New Roman"/>
                <w:color w:val="000000"/>
              </w:rPr>
              <w:t xml:space="preserve"> 9030 Computer</w:t>
            </w:r>
          </w:p>
        </w:tc>
        <w:tc>
          <w:tcPr>
            <w:tcW w:w="2185"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1,210 </w:t>
            </w:r>
          </w:p>
        </w:tc>
      </w:tr>
      <w:tr w:rsidR="00501874" w:rsidRPr="00501874" w:rsidTr="004A56C5">
        <w:trPr>
          <w:trHeight w:val="9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Jul-16</w:t>
            </w:r>
          </w:p>
        </w:tc>
        <w:tc>
          <w:tcPr>
            <w:tcW w:w="1104" w:type="dxa"/>
            <w:tcBorders>
              <w:top w:val="nil"/>
              <w:left w:val="nil"/>
              <w:bottom w:val="single" w:sz="4" w:space="0" w:color="auto"/>
              <w:right w:val="single" w:sz="4" w:space="0" w:color="auto"/>
            </w:tcBorders>
            <w:shd w:val="clear" w:color="auto" w:fill="auto"/>
            <w:noWrap/>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OFA: NYC - EEP</w:t>
            </w:r>
          </w:p>
        </w:tc>
        <w:tc>
          <w:tcPr>
            <w:tcW w:w="2047"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Standard Commercial Interiors </w:t>
            </w:r>
          </w:p>
        </w:tc>
        <w:tc>
          <w:tcPr>
            <w:tcW w:w="4025" w:type="dxa"/>
            <w:gridSpan w:val="2"/>
            <w:tcBorders>
              <w:top w:val="single" w:sz="4" w:space="0" w:color="auto"/>
              <w:left w:val="nil"/>
              <w:bottom w:val="single" w:sz="4" w:space="0" w:color="auto"/>
              <w:right w:val="single" w:sz="4" w:space="0" w:color="000000"/>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Workstation/Desk</w:t>
            </w:r>
          </w:p>
        </w:tc>
        <w:tc>
          <w:tcPr>
            <w:tcW w:w="2185"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1,319 </w:t>
            </w:r>
          </w:p>
        </w:tc>
      </w:tr>
      <w:tr w:rsidR="00501874" w:rsidRPr="00501874" w:rsidTr="004A56C5">
        <w:trPr>
          <w:trHeight w:val="6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single" w:sz="4" w:space="0" w:color="auto"/>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Aug-16</w:t>
            </w:r>
          </w:p>
        </w:tc>
        <w:tc>
          <w:tcPr>
            <w:tcW w:w="1104"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Cancer Services Program</w:t>
            </w:r>
          </w:p>
        </w:tc>
        <w:tc>
          <w:tcPr>
            <w:tcW w:w="2047"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Intelligent Tech Solutions </w:t>
            </w:r>
          </w:p>
        </w:tc>
        <w:tc>
          <w:tcPr>
            <w:tcW w:w="4025" w:type="dxa"/>
            <w:gridSpan w:val="2"/>
            <w:tcBorders>
              <w:top w:val="single" w:sz="4" w:space="0" w:color="auto"/>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Dell </w:t>
            </w:r>
            <w:proofErr w:type="spellStart"/>
            <w:r w:rsidRPr="00501874">
              <w:rPr>
                <w:rFonts w:ascii="Calibri" w:eastAsia="Times New Roman" w:hAnsi="Calibri" w:cs="Times New Roman"/>
                <w:color w:val="000000"/>
              </w:rPr>
              <w:t>Optiplex</w:t>
            </w:r>
            <w:proofErr w:type="spellEnd"/>
            <w:r w:rsidRPr="00501874">
              <w:rPr>
                <w:rFonts w:ascii="Calibri" w:eastAsia="Times New Roman" w:hAnsi="Calibri" w:cs="Times New Roman"/>
                <w:color w:val="000000"/>
              </w:rPr>
              <w:t xml:space="preserve"> 24 Computer</w:t>
            </w:r>
          </w:p>
        </w:tc>
        <w:tc>
          <w:tcPr>
            <w:tcW w:w="2185" w:type="dxa"/>
            <w:tcBorders>
              <w:top w:val="nil"/>
              <w:left w:val="nil"/>
              <w:bottom w:val="single" w:sz="4" w:space="0" w:color="auto"/>
              <w:right w:val="single" w:sz="4" w:space="0" w:color="auto"/>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                           1,509 </w:t>
            </w:r>
          </w:p>
        </w:tc>
      </w:tr>
      <w:tr w:rsidR="00501874" w:rsidRPr="00501874" w:rsidTr="004A56C5">
        <w:trPr>
          <w:trHeight w:val="300"/>
        </w:trPr>
        <w:tc>
          <w:tcPr>
            <w:tcW w:w="530" w:type="dxa"/>
            <w:tcBorders>
              <w:top w:val="nil"/>
              <w:left w:val="nil"/>
              <w:bottom w:val="nil"/>
              <w:right w:val="nil"/>
            </w:tcBorders>
            <w:shd w:val="clear" w:color="auto" w:fill="auto"/>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hideMark/>
          </w:tcPr>
          <w:p w:rsidR="00501874" w:rsidRPr="00501874" w:rsidRDefault="00501874" w:rsidP="00501874">
            <w:pPr>
              <w:widowControl/>
              <w:jc w:val="right"/>
              <w:rPr>
                <w:rFonts w:ascii="Calibri" w:eastAsia="Times New Roman" w:hAnsi="Calibri" w:cs="Times New Roman"/>
                <w:color w:val="000000"/>
              </w:rPr>
            </w:pPr>
            <w:r w:rsidRPr="00501874">
              <w:rPr>
                <w:rFonts w:ascii="Calibri" w:eastAsia="Times New Roman" w:hAnsi="Calibri" w:cs="Times New Roman"/>
                <w:color w:val="000000"/>
              </w:rPr>
              <w:t>Total</w:t>
            </w:r>
          </w:p>
        </w:tc>
        <w:tc>
          <w:tcPr>
            <w:tcW w:w="2185" w:type="dxa"/>
            <w:tcBorders>
              <w:top w:val="nil"/>
              <w:left w:val="single" w:sz="4" w:space="0" w:color="auto"/>
              <w:bottom w:val="single" w:sz="4" w:space="0" w:color="auto"/>
              <w:right w:val="single" w:sz="4" w:space="0" w:color="auto"/>
            </w:tcBorders>
            <w:shd w:val="clear" w:color="auto" w:fill="auto"/>
            <w:hideMark/>
          </w:tcPr>
          <w:p w:rsidR="00501874" w:rsidRPr="00501874" w:rsidRDefault="00501874" w:rsidP="00501874">
            <w:pPr>
              <w:widowControl/>
              <w:rPr>
                <w:rFonts w:ascii="Calibri" w:eastAsia="Times New Roman" w:hAnsi="Calibri" w:cs="Times New Roman"/>
                <w:color w:val="000000"/>
              </w:rPr>
            </w:pPr>
            <w:r w:rsidRPr="00501874">
              <w:rPr>
                <w:rFonts w:ascii="Calibri" w:eastAsia="Times New Roman" w:hAnsi="Calibri" w:cs="Times New Roman"/>
                <w:color w:val="000000"/>
              </w:rPr>
              <w:t xml:space="preserve"> $                        5,381 </w:t>
            </w:r>
          </w:p>
        </w:tc>
      </w:tr>
      <w:tr w:rsidR="00501874" w:rsidRPr="00501874" w:rsidTr="004A56C5">
        <w:trPr>
          <w:trHeight w:val="1035"/>
        </w:trPr>
        <w:tc>
          <w:tcPr>
            <w:tcW w:w="11970" w:type="dxa"/>
            <w:gridSpan w:val="7"/>
            <w:tcBorders>
              <w:top w:val="nil"/>
              <w:left w:val="nil"/>
              <w:bottom w:val="nil"/>
              <w:right w:val="nil"/>
            </w:tcBorders>
            <w:shd w:val="clear" w:color="auto" w:fill="auto"/>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b/>
                <w:bCs/>
                <w:color w:val="000000"/>
                <w:sz w:val="24"/>
                <w:szCs w:val="24"/>
              </w:rPr>
              <w:t xml:space="preserve">Accounts Payable - </w:t>
            </w:r>
            <w:r w:rsidRPr="00501874">
              <w:rPr>
                <w:rFonts w:ascii="Calibri" w:eastAsia="Times New Roman" w:hAnsi="Calibri" w:cs="Times New Roman"/>
                <w:color w:val="000000"/>
                <w:sz w:val="24"/>
                <w:szCs w:val="24"/>
              </w:rPr>
              <w:t xml:space="preserve">At July 31, 2016, accounts payable lability is $29,742 and all AP liability is being paid timely within 28 days except for CSP Clinical Services which gets paid once NYS pays CCCHC. The following is a list of vendors </w:t>
            </w:r>
            <w:proofErr w:type="gramStart"/>
            <w:r w:rsidRPr="00501874">
              <w:rPr>
                <w:rFonts w:ascii="Calibri" w:eastAsia="Times New Roman" w:hAnsi="Calibri" w:cs="Times New Roman"/>
                <w:color w:val="000000"/>
                <w:sz w:val="24"/>
                <w:szCs w:val="24"/>
              </w:rPr>
              <w:t>who's</w:t>
            </w:r>
            <w:proofErr w:type="gramEnd"/>
            <w:r w:rsidRPr="00501874">
              <w:rPr>
                <w:rFonts w:ascii="Calibri" w:eastAsia="Times New Roman" w:hAnsi="Calibri" w:cs="Times New Roman"/>
                <w:color w:val="000000"/>
                <w:sz w:val="24"/>
                <w:szCs w:val="24"/>
              </w:rPr>
              <w:t xml:space="preserve"> liability exceed $1,000.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Wingdings" w:eastAsia="Times New Roman" w:hAnsi="Wingdings" w:cs="Times New Roman"/>
                <w:color w:val="000000"/>
                <w:sz w:val="24"/>
                <w:szCs w:val="24"/>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Mentor Foundation USA</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5,000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Taconic Hills HS Drug Prevention</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Lamar Companies</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3,250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Advertising-Tobacco</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Clear Channel Outdoors, Inc.</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1,695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Advertising-Tobacco</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Columbia County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1,531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Vehicle Fuel, Lease </w:t>
            </w:r>
            <w:proofErr w:type="spellStart"/>
            <w:r w:rsidRPr="00501874">
              <w:rPr>
                <w:rFonts w:ascii="Calibri" w:eastAsia="Times New Roman" w:hAnsi="Calibri" w:cs="Times New Roman"/>
                <w:color w:val="000000"/>
              </w:rPr>
              <w:t>Paymt</w:t>
            </w:r>
            <w:proofErr w:type="spellEnd"/>
            <w:r w:rsidRPr="00501874">
              <w:rPr>
                <w:rFonts w:ascii="Calibri" w:eastAsia="Times New Roman" w:hAnsi="Calibri" w:cs="Times New Roman"/>
                <w:color w:val="000000"/>
              </w:rPr>
              <w:t xml:space="preserve"> &amp; Repairs</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Albany Broadcasting Company</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1,290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Advertising-Tobacco</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Bond, Schoeneck &amp; King PLLC</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1,250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Staff Training-Sexual Harassment</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Agency Credit Card - VISA</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1,355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Various Program Expenditures</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Cancer Screening Providers</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6,357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jc w:val="center"/>
              <w:rPr>
                <w:rFonts w:ascii="Calibri" w:eastAsia="Times New Roman" w:hAnsi="Calibri" w:cs="Times New Roman"/>
                <w:color w:val="000000"/>
              </w:rPr>
            </w:pPr>
            <w:r w:rsidRPr="00501874">
              <w:rPr>
                <w:rFonts w:ascii="Calibri" w:eastAsia="Times New Roman" w:hAnsi="Calibri" w:cs="Times New Roman"/>
                <w:color w:val="000000"/>
              </w:rPr>
              <w:t xml:space="preserve">Clinical Services-Months of June &amp; July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Calibri" w:eastAsia="Times New Roman" w:hAnsi="Calibri" w:cs="Times New Roman"/>
                <w:color w:val="00000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330"/>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079"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Total AP from Above </w:t>
            </w:r>
          </w:p>
        </w:tc>
        <w:tc>
          <w:tcPr>
            <w:tcW w:w="2070"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21,728 </w:t>
            </w:r>
          </w:p>
        </w:tc>
        <w:tc>
          <w:tcPr>
            <w:tcW w:w="4140" w:type="dxa"/>
            <w:gridSpan w:val="2"/>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color w:val="000000"/>
                <w:sz w:val="24"/>
                <w:szCs w:val="24"/>
              </w:rPr>
            </w:pPr>
          </w:p>
        </w:tc>
      </w:tr>
      <w:tr w:rsidR="00501874" w:rsidRPr="00501874" w:rsidTr="004A56C5">
        <w:trPr>
          <w:trHeight w:val="330"/>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079"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079"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2265"/>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ind w:left="252" w:right="276"/>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color w:val="000000"/>
                <w:sz w:val="24"/>
                <w:szCs w:val="24"/>
              </w:rPr>
              <w:t xml:space="preserve"> </w:t>
            </w:r>
            <w:r w:rsidRPr="00501874">
              <w:rPr>
                <w:rFonts w:ascii="Calibri" w:eastAsia="Times New Roman" w:hAnsi="Calibri" w:cs="Times New Roman"/>
                <w:b/>
                <w:bCs/>
                <w:color w:val="000000"/>
                <w:sz w:val="24"/>
                <w:szCs w:val="24"/>
              </w:rPr>
              <w:t>Advance Funding Payable</w:t>
            </w:r>
            <w:r w:rsidRPr="00501874">
              <w:rPr>
                <w:rFonts w:ascii="Calibri" w:eastAsia="Times New Roman" w:hAnsi="Calibri" w:cs="Times New Roman"/>
                <w:color w:val="000000"/>
                <w:sz w:val="24"/>
                <w:szCs w:val="24"/>
              </w:rPr>
              <w:t xml:space="preserve"> - When the Agency receives a deposit for work to be done in the future, it recognizes it by debiting (increasing) cash and crediting (increasing) a deferred revenue account or "Advance Funding Payable"(a liability account). This transaction doesn't affect the income statement -- the deferred revenue is not really a revenue per se. The deferred account functions like a holding place, until services are provided. The entire transaction affects only balance sheet accounts. Once the service is provided, a "real" revenue is recognized with an entry that debits (decreases) the deferred account and credits (increases) the revenue account. Program income received in advance consist of the following as of July 31, 2016,</w:t>
            </w:r>
          </w:p>
        </w:tc>
      </w:tr>
      <w:tr w:rsidR="00501874" w:rsidRPr="00501874" w:rsidTr="004A56C5">
        <w:trPr>
          <w:trHeight w:val="94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Wingdings" w:eastAsia="Times New Roman" w:hAnsi="Wingdings"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Program Name</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Beginning Balance at January 1st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Contributions</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&lt;Recognize Revenue&gt;</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Ending Balance at July 31, 2016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Foundation for Community Health</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Prescription Rx Access</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10,445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7,125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(3,745)</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13,825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Transportation: </w:t>
            </w:r>
            <w:proofErr w:type="spellStart"/>
            <w:r w:rsidRPr="00501874">
              <w:rPr>
                <w:rFonts w:ascii="Times New Roman" w:eastAsia="Times New Roman" w:hAnsi="Times New Roman" w:cs="Times New Roman"/>
                <w:color w:val="000000"/>
                <w:sz w:val="24"/>
                <w:szCs w:val="24"/>
              </w:rPr>
              <w:t>Acram</w:t>
            </w:r>
            <w:proofErr w:type="spellEnd"/>
            <w:r w:rsidRPr="00501874">
              <w:rPr>
                <w:rFonts w:ascii="Times New Roman" w:eastAsia="Times New Roman" w:hAnsi="Times New Roman" w:cs="Times New Roman"/>
                <w:color w:val="000000"/>
                <w:sz w:val="24"/>
                <w:szCs w:val="24"/>
              </w:rPr>
              <w:t>/Copake</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25,000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(13,495)</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11,505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Children's Mental Health Project</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20,238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(6,937)</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13,301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Dyson Foundation</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b/>
                <w:bCs/>
                <w:color w:val="000000"/>
                <w:sz w:val="24"/>
                <w:szCs w:val="24"/>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Prescription Rx Access</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25,000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(14,746)</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10,254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NYS Grant Advances</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b/>
                <w:bCs/>
                <w:color w:val="000000"/>
                <w:sz w:val="24"/>
                <w:szCs w:val="24"/>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Cancer Services Program</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5,060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35,000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(15,922)</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24,138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ind w:firstLineChars="200" w:firstLine="480"/>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Tobacco Free Program</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40,565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79,750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(45,834)</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74,481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0"/>
                <w:szCs w:val="20"/>
              </w:rPr>
            </w:pPr>
            <w:r w:rsidRPr="00501874">
              <w:rPr>
                <w:rFonts w:ascii="Times New Roman" w:eastAsia="Times New Roman" w:hAnsi="Times New Roman" w:cs="Times New Roman"/>
                <w:color w:val="000000"/>
                <w:sz w:val="20"/>
                <w:szCs w:val="20"/>
              </w:rPr>
              <w:t>Health &amp; Recovery Plan (HCBS-HARP)</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0"/>
                <w:szCs w:val="20"/>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49,850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49,850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Total Advance Funding Payable</w:t>
            </w:r>
          </w:p>
        </w:tc>
        <w:tc>
          <w:tcPr>
            <w:tcW w:w="2047"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76,308 </w:t>
            </w:r>
          </w:p>
        </w:tc>
        <w:tc>
          <w:tcPr>
            <w:tcW w:w="2070"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221,725 </w:t>
            </w:r>
          </w:p>
        </w:tc>
        <w:tc>
          <w:tcPr>
            <w:tcW w:w="1955"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(100,678)</w:t>
            </w:r>
          </w:p>
        </w:tc>
        <w:tc>
          <w:tcPr>
            <w:tcW w:w="2185"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197,355 </w:t>
            </w:r>
          </w:p>
        </w:tc>
      </w:tr>
      <w:tr w:rsidR="00501874" w:rsidRPr="00501874" w:rsidTr="004A56C5">
        <w:trPr>
          <w:trHeight w:val="1545"/>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ind w:left="252" w:right="186"/>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color w:val="000000"/>
                <w:sz w:val="24"/>
                <w:szCs w:val="24"/>
              </w:rPr>
              <w:t xml:space="preserve"> </w:t>
            </w:r>
            <w:r w:rsidRPr="00501874">
              <w:rPr>
                <w:rFonts w:ascii="Calibri" w:eastAsia="Times New Roman" w:hAnsi="Calibri" w:cs="Times New Roman"/>
                <w:b/>
                <w:bCs/>
                <w:color w:val="000000"/>
                <w:sz w:val="24"/>
                <w:szCs w:val="24"/>
              </w:rPr>
              <w:t>Temporary Restricted Net Assets</w:t>
            </w:r>
            <w:r w:rsidRPr="00501874">
              <w:rPr>
                <w:rFonts w:ascii="Calibri" w:eastAsia="Times New Roman" w:hAnsi="Calibri" w:cs="Times New Roman"/>
                <w:color w:val="000000"/>
                <w:sz w:val="24"/>
                <w:szCs w:val="24"/>
              </w:rPr>
              <w:t xml:space="preserve"> - Temporarily restricted net assets are donated contributions that have only a one-sided economic benefit and are restricted to a specific period of time or set of conditions. To decrease this revenue employ another account named Net Assets Released From Restrictions, which reports revenue.  Below temporarily restricted net assets represents donations to be used for the following specific program purpose as of July 31, 2016: </w:t>
            </w:r>
          </w:p>
        </w:tc>
      </w:tr>
      <w:tr w:rsidR="00501874" w:rsidRPr="00501874" w:rsidTr="004A56C5">
        <w:trPr>
          <w:trHeight w:val="1260"/>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Wingdings" w:eastAsia="Times New Roman" w:hAnsi="Wingdings"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Program Name</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Beginning Balance at January 1st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Contributions</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&lt;Assets Released from Temporary Restrictions&gt;</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 xml:space="preserve">Ending Balance at July 31, 2016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b/>
                <w:bCs/>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Columbia County</w:t>
            </w:r>
            <w:r w:rsidRPr="00501874">
              <w:rPr>
                <w:rFonts w:ascii="Times New Roman" w:eastAsia="Times New Roman" w:hAnsi="Times New Roman" w:cs="Times New Roman"/>
                <w:color w:val="000000"/>
              </w:rPr>
              <w:t xml:space="preserve"> -</w:t>
            </w:r>
            <w:r w:rsidRPr="00501874">
              <w:rPr>
                <w:rFonts w:ascii="Times New Roman" w:eastAsia="Times New Roman" w:hAnsi="Times New Roman" w:cs="Times New Roman"/>
                <w:color w:val="000000"/>
                <w:sz w:val="18"/>
                <w:szCs w:val="18"/>
              </w:rPr>
              <w:t>CARTS &amp; Receptionist</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49,000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(28,583)</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20,417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Columbia County Depts.-CARTS</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19,000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(11,083)</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7,917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Columbia County Cancer Fund</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11,831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1,020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(6,169)</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6,681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Greene County Cancer Fund</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8,690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650 </w:t>
            </w: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(2,023)</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7,317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Complementary Therapies</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6,955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(900)</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6,055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Jan Koweek Fund</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901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901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rPr>
                <w:rFonts w:ascii="Times New Roman" w:eastAsia="Times New Roman" w:hAnsi="Times New Roman" w:cs="Times New Roman"/>
                <w:color w:val="000000"/>
              </w:rPr>
            </w:pPr>
            <w:r w:rsidRPr="00501874">
              <w:rPr>
                <w:rFonts w:ascii="Times New Roman" w:eastAsia="Times New Roman" w:hAnsi="Times New Roman" w:cs="Times New Roman"/>
                <w:color w:val="000000"/>
              </w:rPr>
              <w:t>Galvan Foundation-Bengali Community</w:t>
            </w: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10,470 </w:t>
            </w: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(4,509)</w:t>
            </w: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5,961 </w:t>
            </w:r>
          </w:p>
        </w:tc>
      </w:tr>
      <w:tr w:rsidR="00501874" w:rsidRPr="00501874" w:rsidTr="004A56C5">
        <w:trPr>
          <w:trHeight w:val="31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3183" w:type="dxa"/>
            <w:gridSpan w:val="2"/>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b/>
                <w:bCs/>
                <w:color w:val="000000"/>
                <w:sz w:val="24"/>
                <w:szCs w:val="24"/>
              </w:rPr>
            </w:pPr>
            <w:r w:rsidRPr="00501874">
              <w:rPr>
                <w:rFonts w:ascii="Times New Roman" w:eastAsia="Times New Roman" w:hAnsi="Times New Roman" w:cs="Times New Roman"/>
                <w:b/>
                <w:bCs/>
                <w:color w:val="000000"/>
                <w:sz w:val="24"/>
                <w:szCs w:val="24"/>
              </w:rPr>
              <w:t>Totals of Temporary Restricted Funds</w:t>
            </w:r>
          </w:p>
        </w:tc>
        <w:tc>
          <w:tcPr>
            <w:tcW w:w="2047"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38,847 </w:t>
            </w:r>
          </w:p>
        </w:tc>
        <w:tc>
          <w:tcPr>
            <w:tcW w:w="2070"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69,670 </w:t>
            </w:r>
          </w:p>
        </w:tc>
        <w:tc>
          <w:tcPr>
            <w:tcW w:w="1955"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(53,268)</w:t>
            </w:r>
          </w:p>
        </w:tc>
        <w:tc>
          <w:tcPr>
            <w:tcW w:w="2185" w:type="dxa"/>
            <w:tcBorders>
              <w:top w:val="single" w:sz="4" w:space="0" w:color="auto"/>
              <w:left w:val="nil"/>
              <w:bottom w:val="double" w:sz="6" w:space="0" w:color="auto"/>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r w:rsidRPr="00501874">
              <w:rPr>
                <w:rFonts w:ascii="Times New Roman" w:eastAsia="Times New Roman" w:hAnsi="Times New Roman" w:cs="Times New Roman"/>
                <w:color w:val="000000"/>
                <w:sz w:val="24"/>
                <w:szCs w:val="24"/>
              </w:rPr>
              <w:t xml:space="preserve"> $              55,248 </w:t>
            </w:r>
          </w:p>
        </w:tc>
      </w:tr>
      <w:tr w:rsidR="00501874" w:rsidRPr="00501874" w:rsidTr="004A56C5">
        <w:trPr>
          <w:trHeight w:val="135"/>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color w:val="000000"/>
                <w:sz w:val="24"/>
                <w:szCs w:val="24"/>
              </w:rPr>
            </w:pPr>
          </w:p>
        </w:tc>
        <w:tc>
          <w:tcPr>
            <w:tcW w:w="2079"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r>
      <w:tr w:rsidR="00501874" w:rsidRPr="00501874" w:rsidTr="004A56C5">
        <w:trPr>
          <w:trHeight w:val="585"/>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ind w:left="252"/>
              <w:rPr>
                <w:rFonts w:ascii="Wingdings" w:eastAsia="Times New Roman" w:hAnsi="Wingdings" w:cs="Times New Roman"/>
                <w:color w:val="000000"/>
                <w:sz w:val="24"/>
                <w:szCs w:val="24"/>
              </w:rPr>
            </w:pPr>
            <w:r w:rsidRPr="00501874">
              <w:rPr>
                <w:rFonts w:ascii="Wingdings" w:eastAsia="Times New Roman" w:hAnsi="Wingdings" w:cs="Times New Roman"/>
                <w:color w:val="000000"/>
                <w:sz w:val="24"/>
                <w:szCs w:val="24"/>
              </w:rPr>
              <w:t></w:t>
            </w:r>
            <w:r w:rsidRPr="00501874">
              <w:rPr>
                <w:rFonts w:ascii="Times New Roman" w:eastAsia="Times New Roman" w:hAnsi="Times New Roman" w:cs="Times New Roman"/>
                <w:color w:val="000000"/>
                <w:sz w:val="24"/>
                <w:szCs w:val="24"/>
              </w:rPr>
              <w:t xml:space="preserve"> </w:t>
            </w:r>
            <w:r w:rsidRPr="00501874">
              <w:rPr>
                <w:rFonts w:ascii="Times New Roman" w:eastAsia="Times New Roman" w:hAnsi="Times New Roman" w:cs="Times New Roman"/>
                <w:b/>
                <w:bCs/>
                <w:color w:val="000000"/>
                <w:sz w:val="24"/>
                <w:szCs w:val="24"/>
              </w:rPr>
              <w:t>Change in Unrestricted Net Assets</w:t>
            </w:r>
            <w:r w:rsidRPr="00501874">
              <w:rPr>
                <w:rFonts w:ascii="Calibri" w:eastAsia="Times New Roman" w:hAnsi="Calibri" w:cs="Times New Roman"/>
                <w:color w:val="000000"/>
                <w:sz w:val="24"/>
                <w:szCs w:val="24"/>
              </w:rPr>
              <w:t xml:space="preserve"> - For the seven months ending July 31, 2016, increase of $25,836 (or Total Revenue of $984,983 less Total Expenses of $959,147).</w:t>
            </w:r>
          </w:p>
        </w:tc>
      </w:tr>
      <w:tr w:rsidR="00501874" w:rsidRPr="00501874" w:rsidTr="004A56C5">
        <w:trPr>
          <w:trHeight w:val="80"/>
        </w:trPr>
        <w:tc>
          <w:tcPr>
            <w:tcW w:w="530" w:type="dxa"/>
            <w:tcBorders>
              <w:top w:val="nil"/>
              <w:left w:val="nil"/>
              <w:bottom w:val="nil"/>
              <w:right w:val="nil"/>
            </w:tcBorders>
            <w:shd w:val="clear" w:color="auto" w:fill="auto"/>
            <w:vAlign w:val="center"/>
            <w:hideMark/>
          </w:tcPr>
          <w:p w:rsidR="00501874" w:rsidRPr="00501874" w:rsidRDefault="00501874" w:rsidP="00501874">
            <w:pPr>
              <w:widowControl/>
              <w:rPr>
                <w:rFonts w:ascii="Wingdings" w:eastAsia="Times New Roman" w:hAnsi="Wingdings" w:cs="Times New Roman"/>
                <w:color w:val="000000"/>
                <w:sz w:val="24"/>
                <w:szCs w:val="24"/>
              </w:rPr>
            </w:pPr>
          </w:p>
        </w:tc>
        <w:tc>
          <w:tcPr>
            <w:tcW w:w="2079"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104" w:type="dxa"/>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2047" w:type="dxa"/>
            <w:tcBorders>
              <w:top w:val="nil"/>
              <w:left w:val="nil"/>
              <w:bottom w:val="nil"/>
              <w:right w:val="nil"/>
            </w:tcBorders>
            <w:shd w:val="clear" w:color="auto" w:fill="auto"/>
            <w:vAlign w:val="center"/>
            <w:hideMark/>
          </w:tcPr>
          <w:p w:rsidR="00501874" w:rsidRPr="00501874" w:rsidRDefault="00501874" w:rsidP="00501874">
            <w:pPr>
              <w:widowControl/>
              <w:jc w:val="right"/>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vAlign w:val="center"/>
            <w:hideMark/>
          </w:tcPr>
          <w:p w:rsidR="00501874" w:rsidRPr="00501874" w:rsidRDefault="00501874" w:rsidP="00501874">
            <w:pPr>
              <w:widowControl/>
              <w:jc w:val="center"/>
              <w:rPr>
                <w:rFonts w:ascii="Times New Roman" w:eastAsia="Times New Roman" w:hAnsi="Times New Roman" w:cs="Times New Roman"/>
                <w:sz w:val="20"/>
                <w:szCs w:val="20"/>
              </w:rPr>
            </w:pPr>
          </w:p>
        </w:tc>
      </w:tr>
      <w:tr w:rsidR="00501874" w:rsidRPr="00501874" w:rsidTr="004A56C5">
        <w:trPr>
          <w:trHeight w:val="360"/>
        </w:trPr>
        <w:tc>
          <w:tcPr>
            <w:tcW w:w="11970" w:type="dxa"/>
            <w:gridSpan w:val="7"/>
            <w:tcBorders>
              <w:top w:val="nil"/>
              <w:left w:val="nil"/>
              <w:bottom w:val="nil"/>
              <w:right w:val="nil"/>
            </w:tcBorders>
            <w:shd w:val="clear" w:color="auto" w:fill="auto"/>
            <w:vAlign w:val="bottom"/>
            <w:hideMark/>
          </w:tcPr>
          <w:p w:rsidR="00501874" w:rsidRPr="00501874" w:rsidRDefault="00501874" w:rsidP="00501874">
            <w:pPr>
              <w:widowControl/>
              <w:jc w:val="center"/>
              <w:rPr>
                <w:rFonts w:ascii="Wide Latin" w:eastAsia="Times New Roman" w:hAnsi="Wide Latin" w:cs="Times New Roman"/>
                <w:color w:val="000000"/>
                <w:sz w:val="24"/>
                <w:szCs w:val="24"/>
              </w:rPr>
            </w:pPr>
            <w:r w:rsidRPr="00501874">
              <w:rPr>
                <w:rFonts w:ascii="Wide Latin" w:eastAsia="Times New Roman" w:hAnsi="Wide Latin" w:cs="Times New Roman"/>
                <w:color w:val="000000"/>
                <w:sz w:val="24"/>
                <w:szCs w:val="24"/>
              </w:rPr>
              <w:lastRenderedPageBreak/>
              <w:t>Statement of Activities</w:t>
            </w:r>
          </w:p>
        </w:tc>
      </w:tr>
      <w:tr w:rsidR="00501874" w:rsidRPr="00501874" w:rsidTr="004A56C5">
        <w:trPr>
          <w:trHeight w:val="390"/>
        </w:trPr>
        <w:tc>
          <w:tcPr>
            <w:tcW w:w="3713" w:type="dxa"/>
            <w:gridSpan w:val="3"/>
            <w:tcBorders>
              <w:top w:val="nil"/>
              <w:left w:val="nil"/>
              <w:bottom w:val="single" w:sz="8" w:space="0" w:color="auto"/>
              <w:right w:val="nil"/>
            </w:tcBorders>
            <w:shd w:val="clear" w:color="auto" w:fill="auto"/>
            <w:noWrap/>
            <w:vAlign w:val="bottom"/>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Revenue and Support</w:t>
            </w:r>
          </w:p>
        </w:tc>
        <w:tc>
          <w:tcPr>
            <w:tcW w:w="2047" w:type="dxa"/>
            <w:tcBorders>
              <w:top w:val="nil"/>
              <w:left w:val="nil"/>
              <w:bottom w:val="single" w:sz="8" w:space="0" w:color="auto"/>
              <w:right w:val="nil"/>
            </w:tcBorders>
            <w:shd w:val="clear" w:color="auto" w:fill="auto"/>
            <w:noWrap/>
            <w:vAlign w:val="bottom"/>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 </w:t>
            </w:r>
          </w:p>
        </w:tc>
        <w:tc>
          <w:tcPr>
            <w:tcW w:w="2070" w:type="dxa"/>
            <w:tcBorders>
              <w:top w:val="nil"/>
              <w:left w:val="nil"/>
              <w:bottom w:val="single" w:sz="8" w:space="0" w:color="auto"/>
              <w:right w:val="nil"/>
            </w:tcBorders>
            <w:shd w:val="clear" w:color="auto" w:fill="auto"/>
            <w:noWrap/>
            <w:vAlign w:val="bottom"/>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 </w:t>
            </w:r>
          </w:p>
        </w:tc>
        <w:tc>
          <w:tcPr>
            <w:tcW w:w="1955" w:type="dxa"/>
            <w:tcBorders>
              <w:top w:val="nil"/>
              <w:left w:val="nil"/>
              <w:bottom w:val="single" w:sz="8" w:space="0" w:color="auto"/>
              <w:right w:val="nil"/>
            </w:tcBorders>
            <w:shd w:val="clear" w:color="auto" w:fill="auto"/>
            <w:noWrap/>
            <w:vAlign w:val="bottom"/>
            <w:hideMark/>
          </w:tcPr>
          <w:p w:rsidR="00501874" w:rsidRPr="00501874" w:rsidRDefault="00501874" w:rsidP="00501874">
            <w:pPr>
              <w:widowControl/>
              <w:jc w:val="center"/>
              <w:rPr>
                <w:rFonts w:ascii="Arial" w:eastAsia="Times New Roman" w:hAnsi="Arial" w:cs="Arial"/>
                <w:color w:val="000000"/>
                <w:sz w:val="20"/>
                <w:szCs w:val="20"/>
              </w:rPr>
            </w:pPr>
            <w:r w:rsidRPr="00501874">
              <w:rPr>
                <w:rFonts w:ascii="Arial" w:eastAsia="Times New Roman" w:hAnsi="Arial" w:cs="Arial"/>
                <w:color w:val="000000"/>
                <w:sz w:val="20"/>
                <w:szCs w:val="20"/>
              </w:rPr>
              <w:t>July 31, 2016</w:t>
            </w:r>
          </w:p>
        </w:tc>
        <w:tc>
          <w:tcPr>
            <w:tcW w:w="2185" w:type="dxa"/>
            <w:tcBorders>
              <w:top w:val="nil"/>
              <w:left w:val="nil"/>
              <w:bottom w:val="single" w:sz="8" w:space="0" w:color="auto"/>
              <w:right w:val="nil"/>
            </w:tcBorders>
            <w:shd w:val="clear" w:color="auto" w:fill="auto"/>
            <w:noWrap/>
            <w:vAlign w:val="bottom"/>
            <w:hideMark/>
          </w:tcPr>
          <w:p w:rsidR="00501874" w:rsidRPr="00501874" w:rsidRDefault="00501874" w:rsidP="00501874">
            <w:pPr>
              <w:widowControl/>
              <w:jc w:val="center"/>
              <w:rPr>
                <w:rFonts w:ascii="Arial" w:eastAsia="Times New Roman" w:hAnsi="Arial" w:cs="Arial"/>
                <w:color w:val="000000"/>
                <w:sz w:val="20"/>
                <w:szCs w:val="20"/>
              </w:rPr>
            </w:pPr>
            <w:r w:rsidRPr="00501874">
              <w:rPr>
                <w:rFonts w:ascii="Arial" w:eastAsia="Times New Roman" w:hAnsi="Arial" w:cs="Arial"/>
                <w:color w:val="000000"/>
                <w:sz w:val="20"/>
                <w:szCs w:val="20"/>
              </w:rPr>
              <w:t>July 31, 2015</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jc w:val="center"/>
              <w:rPr>
                <w:rFonts w:ascii="Arial" w:eastAsia="Times New Roman" w:hAnsi="Arial" w:cs="Arial"/>
                <w:color w:val="000000"/>
                <w:sz w:val="20"/>
                <w:szCs w:val="20"/>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Grants - New York State</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         627,113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          607,212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Grants - Federal (HRI)</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8,874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11,992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Transportation - Medicaid </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116,575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110,769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Greene County DSS</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24,462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21,272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Columbia County Departments</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5230" w:type="dxa"/>
            <w:gridSpan w:val="3"/>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r w:rsidRPr="00501874">
              <w:rPr>
                <w:rFonts w:ascii="Arial" w:eastAsia="Times New Roman" w:hAnsi="Arial" w:cs="Arial"/>
                <w:color w:val="000000"/>
                <w:sz w:val="24"/>
                <w:szCs w:val="24"/>
              </w:rPr>
              <w:t>OFA: NY Connects, Senior Transportation</w:t>
            </w: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69,275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48,339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r w:rsidRPr="00501874">
              <w:rPr>
                <w:rFonts w:ascii="Arial" w:eastAsia="Times New Roman" w:hAnsi="Arial" w:cs="Arial"/>
                <w:color w:val="000000"/>
                <w:sz w:val="24"/>
                <w:szCs w:val="24"/>
              </w:rPr>
              <w:t>Dept. of Human Services</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5,901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4,368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r w:rsidRPr="00501874">
              <w:rPr>
                <w:rFonts w:ascii="Arial" w:eastAsia="Times New Roman" w:hAnsi="Arial" w:cs="Arial"/>
                <w:color w:val="000000"/>
                <w:sz w:val="24"/>
                <w:szCs w:val="24"/>
              </w:rPr>
              <w:t>Dept. of Health</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ind w:firstLineChars="400" w:firstLine="960"/>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634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Donations - Transportation</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5,331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5,408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Donations - Others</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150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20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Interest - Bank Accounts</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673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844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Investment Income</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460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157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Unrealized Gain (Loss) on Investment</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481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(340)</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5230" w:type="dxa"/>
            <w:gridSpan w:val="3"/>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Foundation Revenue-FCH &amp; Dyson</w:t>
            </w: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38,165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91,356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5230" w:type="dxa"/>
            <w:gridSpan w:val="3"/>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Miscellaneous Revenue - NYS Interest &amp; Others</w:t>
            </w: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6,452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496 </w:t>
            </w:r>
          </w:p>
        </w:tc>
      </w:tr>
      <w:tr w:rsidR="00501874" w:rsidRPr="00501874" w:rsidTr="004A56C5">
        <w:trPr>
          <w:trHeight w:val="420"/>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3183"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In-Kind Rent - Columbia County</w:t>
            </w:r>
          </w:p>
        </w:tc>
        <w:tc>
          <w:tcPr>
            <w:tcW w:w="2047"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1955" w:type="dxa"/>
            <w:tcBorders>
              <w:top w:val="nil"/>
              <w:left w:val="nil"/>
              <w:bottom w:val="single" w:sz="8" w:space="0" w:color="auto"/>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27,169 </w:t>
            </w:r>
          </w:p>
        </w:tc>
        <w:tc>
          <w:tcPr>
            <w:tcW w:w="2185" w:type="dxa"/>
            <w:tcBorders>
              <w:top w:val="nil"/>
              <w:left w:val="nil"/>
              <w:bottom w:val="single" w:sz="8" w:space="0" w:color="auto"/>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27,169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9"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3151" w:type="dxa"/>
            <w:gridSpan w:val="2"/>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Total Revenue and Support</w:t>
            </w: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b/>
                <w:bCs/>
                <w:color w:val="000000"/>
                <w:sz w:val="24"/>
                <w:szCs w:val="24"/>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931,715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929,061 </w:t>
            </w:r>
          </w:p>
        </w:tc>
      </w:tr>
      <w:tr w:rsidR="00501874" w:rsidRPr="00501874" w:rsidTr="004A56C5">
        <w:trPr>
          <w:trHeight w:val="405"/>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5230" w:type="dxa"/>
            <w:gridSpan w:val="3"/>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Assets Released from Temporary Restrictions</w:t>
            </w:r>
          </w:p>
        </w:tc>
        <w:tc>
          <w:tcPr>
            <w:tcW w:w="207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b/>
                <w:bCs/>
                <w:color w:val="000000"/>
                <w:sz w:val="24"/>
                <w:szCs w:val="24"/>
              </w:rPr>
            </w:pPr>
          </w:p>
        </w:tc>
        <w:tc>
          <w:tcPr>
            <w:tcW w:w="195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53,268 </w:t>
            </w:r>
          </w:p>
        </w:tc>
        <w:tc>
          <w:tcPr>
            <w:tcW w:w="2185"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55,166 </w:t>
            </w:r>
          </w:p>
        </w:tc>
      </w:tr>
      <w:tr w:rsidR="00501874" w:rsidRPr="00501874" w:rsidTr="004A56C5">
        <w:trPr>
          <w:trHeight w:val="420"/>
        </w:trPr>
        <w:tc>
          <w:tcPr>
            <w:tcW w:w="530" w:type="dxa"/>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p>
        </w:tc>
        <w:tc>
          <w:tcPr>
            <w:tcW w:w="2079" w:type="dxa"/>
            <w:tcBorders>
              <w:top w:val="nil"/>
              <w:left w:val="nil"/>
              <w:bottom w:val="nil"/>
              <w:right w:val="nil"/>
            </w:tcBorders>
            <w:shd w:val="clear" w:color="auto" w:fill="auto"/>
            <w:noWrap/>
            <w:vAlign w:val="center"/>
            <w:hideMark/>
          </w:tcPr>
          <w:p w:rsidR="00501874" w:rsidRPr="00501874" w:rsidRDefault="00501874" w:rsidP="00501874">
            <w:pPr>
              <w:widowControl/>
              <w:rPr>
                <w:rFonts w:ascii="Times New Roman" w:eastAsia="Times New Roman" w:hAnsi="Times New Roman" w:cs="Times New Roman"/>
                <w:sz w:val="20"/>
                <w:szCs w:val="20"/>
              </w:rPr>
            </w:pPr>
          </w:p>
        </w:tc>
        <w:tc>
          <w:tcPr>
            <w:tcW w:w="5221" w:type="dxa"/>
            <w:gridSpan w:val="3"/>
            <w:tcBorders>
              <w:top w:val="nil"/>
              <w:left w:val="nil"/>
              <w:bottom w:val="nil"/>
              <w:right w:val="nil"/>
            </w:tcBorders>
            <w:shd w:val="clear" w:color="auto" w:fill="auto"/>
            <w:noWrap/>
            <w:vAlign w:val="center"/>
            <w:hideMark/>
          </w:tcPr>
          <w:p w:rsidR="00501874" w:rsidRPr="00501874" w:rsidRDefault="00501874" w:rsidP="00501874">
            <w:pPr>
              <w:widowControl/>
              <w:rPr>
                <w:rFonts w:ascii="Arial" w:eastAsia="Times New Roman" w:hAnsi="Arial" w:cs="Arial"/>
                <w:b/>
                <w:bCs/>
                <w:color w:val="000000"/>
                <w:sz w:val="24"/>
                <w:szCs w:val="24"/>
              </w:rPr>
            </w:pPr>
            <w:r w:rsidRPr="00501874">
              <w:rPr>
                <w:rFonts w:ascii="Arial" w:eastAsia="Times New Roman" w:hAnsi="Arial" w:cs="Arial"/>
                <w:b/>
                <w:bCs/>
                <w:color w:val="000000"/>
                <w:sz w:val="24"/>
                <w:szCs w:val="24"/>
              </w:rPr>
              <w:t>Total Revenue and Other Support</w:t>
            </w:r>
          </w:p>
        </w:tc>
        <w:tc>
          <w:tcPr>
            <w:tcW w:w="1955" w:type="dxa"/>
            <w:tcBorders>
              <w:top w:val="single" w:sz="4" w:space="0" w:color="auto"/>
              <w:left w:val="nil"/>
              <w:bottom w:val="double" w:sz="6" w:space="0" w:color="auto"/>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984,983 </w:t>
            </w:r>
          </w:p>
        </w:tc>
        <w:tc>
          <w:tcPr>
            <w:tcW w:w="2185" w:type="dxa"/>
            <w:tcBorders>
              <w:top w:val="single" w:sz="4" w:space="0" w:color="auto"/>
              <w:left w:val="nil"/>
              <w:bottom w:val="double" w:sz="6" w:space="0" w:color="auto"/>
              <w:right w:val="nil"/>
            </w:tcBorders>
            <w:shd w:val="clear" w:color="auto" w:fill="auto"/>
            <w:noWrap/>
            <w:vAlign w:val="center"/>
            <w:hideMark/>
          </w:tcPr>
          <w:p w:rsidR="00501874" w:rsidRPr="00501874" w:rsidRDefault="00501874" w:rsidP="00501874">
            <w:pPr>
              <w:widowControl/>
              <w:rPr>
                <w:rFonts w:ascii="Arial" w:eastAsia="Times New Roman" w:hAnsi="Arial" w:cs="Arial"/>
                <w:color w:val="000000"/>
                <w:sz w:val="24"/>
                <w:szCs w:val="24"/>
              </w:rPr>
            </w:pPr>
            <w:r w:rsidRPr="00501874">
              <w:rPr>
                <w:rFonts w:ascii="Arial" w:eastAsia="Times New Roman" w:hAnsi="Arial" w:cs="Arial"/>
                <w:color w:val="000000"/>
                <w:sz w:val="24"/>
                <w:szCs w:val="24"/>
              </w:rPr>
              <w:t xml:space="preserve">             984,227 </w:t>
            </w:r>
          </w:p>
        </w:tc>
      </w:tr>
    </w:tbl>
    <w:p w:rsidR="006D030C" w:rsidRDefault="006D030C"/>
    <w:p w:rsidR="0017501B" w:rsidRDefault="0017501B"/>
    <w:p w:rsidR="0017501B" w:rsidRPr="0017501B" w:rsidRDefault="0017501B" w:rsidP="0017501B">
      <w:pPr>
        <w:widowControl/>
        <w:spacing w:before="100" w:beforeAutospacing="1" w:after="100" w:afterAutospacing="1"/>
        <w:jc w:val="center"/>
        <w:outlineLvl w:val="0"/>
        <w:rPr>
          <w:rFonts w:ascii="Georgia" w:eastAsia="Times New Roman" w:hAnsi="Georgia" w:cs="Times New Roman"/>
          <w:b/>
          <w:bCs/>
          <w:color w:val="333333"/>
          <w:kern w:val="36"/>
          <w:sz w:val="48"/>
          <w:szCs w:val="48"/>
        </w:rPr>
      </w:pPr>
      <w:r w:rsidRPr="0017501B">
        <w:rPr>
          <w:rFonts w:ascii="Georgia" w:eastAsia="Times New Roman" w:hAnsi="Georgia" w:cs="Georgia"/>
          <w:b/>
          <w:bCs/>
          <w:color w:val="0000FF"/>
          <w:kern w:val="36"/>
          <w:sz w:val="48"/>
          <w:szCs w:val="48"/>
        </w:rPr>
        <w:t>﻿</w:t>
      </w:r>
    </w:p>
    <w:p w:rsidR="0017501B" w:rsidRDefault="0017501B"/>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501874" w:rsidRDefault="00501874"/>
    <w:p w:rsidR="004A56C5" w:rsidRDefault="004A56C5"/>
    <w:p w:rsidR="004A56C5" w:rsidRDefault="004A56C5"/>
    <w:p w:rsidR="004A56C5" w:rsidRDefault="004A56C5"/>
    <w:p w:rsidR="004A56C5" w:rsidRDefault="004A56C5"/>
    <w:p w:rsidR="004A56C5" w:rsidRDefault="004A56C5"/>
    <w:p w:rsidR="004A56C5" w:rsidRDefault="004A56C5"/>
    <w:p w:rsidR="00B770A1" w:rsidRDefault="00B770A1" w:rsidP="00501874"/>
    <w:p w:rsidR="00B770A1" w:rsidRDefault="00B770A1" w:rsidP="00501874"/>
    <w:p w:rsidR="00B770A1" w:rsidRDefault="00B770A1" w:rsidP="00501874"/>
    <w:p w:rsidR="00501874" w:rsidRPr="00870380" w:rsidRDefault="00501874" w:rsidP="00501874">
      <w:pPr>
        <w:rPr>
          <w:b/>
        </w:rPr>
      </w:pPr>
      <w:bookmarkStart w:id="0" w:name="_GoBack"/>
      <w:bookmarkEnd w:id="0"/>
      <w:r w:rsidRPr="00870380">
        <w:rPr>
          <w:b/>
        </w:rPr>
        <w:t xml:space="preserve">Columbia County Community Healthcare Consortium, Inc. </w:t>
      </w:r>
    </w:p>
    <w:p w:rsidR="00501874" w:rsidRDefault="00501874" w:rsidP="00501874">
      <w:pPr>
        <w:rPr>
          <w:b/>
        </w:rPr>
      </w:pPr>
      <w:r w:rsidRPr="00870380">
        <w:rPr>
          <w:b/>
        </w:rPr>
        <w:t xml:space="preserve">Meeting of the </w:t>
      </w:r>
      <w:r>
        <w:rPr>
          <w:b/>
        </w:rPr>
        <w:t>Executive Committee</w:t>
      </w:r>
      <w:r>
        <w:rPr>
          <w:b/>
        </w:rPr>
        <w:tab/>
      </w:r>
    </w:p>
    <w:p w:rsidR="00501874" w:rsidRPr="00870380" w:rsidRDefault="00501874" w:rsidP="00501874">
      <w:pPr>
        <w:rPr>
          <w:b/>
        </w:rPr>
      </w:pPr>
      <w:r>
        <w:rPr>
          <w:b/>
        </w:rPr>
        <w:t>August 24, 2016</w:t>
      </w:r>
    </w:p>
    <w:p w:rsidR="00501874" w:rsidRDefault="00501874" w:rsidP="00501874"/>
    <w:p w:rsidR="00501874" w:rsidRPr="00870380" w:rsidRDefault="00501874" w:rsidP="00501874">
      <w:pPr>
        <w:rPr>
          <w:b/>
          <w:u w:val="single"/>
        </w:rPr>
      </w:pPr>
      <w:r w:rsidRPr="00870380">
        <w:rPr>
          <w:b/>
          <w:u w:val="single"/>
        </w:rPr>
        <w:t>Executive Director’s Report</w:t>
      </w:r>
    </w:p>
    <w:p w:rsidR="00501874" w:rsidRDefault="00501874" w:rsidP="00501874">
      <w:pPr>
        <w:spacing w:before="240"/>
        <w:rPr>
          <w:b/>
        </w:rPr>
      </w:pPr>
      <w:r>
        <w:rPr>
          <w:b/>
        </w:rPr>
        <w:t xml:space="preserve">Board and Community </w:t>
      </w:r>
      <w:r w:rsidRPr="00870380">
        <w:rPr>
          <w:b/>
        </w:rPr>
        <w:t>Relations</w:t>
      </w:r>
    </w:p>
    <w:p w:rsidR="00501874" w:rsidRDefault="00501874" w:rsidP="00501874">
      <w:pPr>
        <w:pStyle w:val="ListParagraph"/>
        <w:numPr>
          <w:ilvl w:val="0"/>
          <w:numId w:val="3"/>
        </w:numPr>
        <w:spacing w:before="120"/>
        <w:contextualSpacing w:val="0"/>
      </w:pPr>
      <w:r>
        <w:lastRenderedPageBreak/>
        <w:t>On Tuesday, August 9</w:t>
      </w:r>
      <w:r w:rsidRPr="00C419DD">
        <w:rPr>
          <w:vertAlign w:val="superscript"/>
        </w:rPr>
        <w:t>th</w:t>
      </w:r>
      <w:r>
        <w:t>, I attended the AMCH DSRIP PPS meeting of the Consumer and Community Affairs Committee in Albany.</w:t>
      </w:r>
    </w:p>
    <w:p w:rsidR="00501874" w:rsidRDefault="00501874" w:rsidP="00501874">
      <w:pPr>
        <w:pStyle w:val="ListParagraph"/>
        <w:numPr>
          <w:ilvl w:val="0"/>
          <w:numId w:val="3"/>
        </w:numPr>
        <w:spacing w:before="120"/>
        <w:contextualSpacing w:val="0"/>
      </w:pPr>
      <w:r>
        <w:t>On Friday, August 12</w:t>
      </w:r>
      <w:r w:rsidRPr="00C419DD">
        <w:rPr>
          <w:vertAlign w:val="superscript"/>
        </w:rPr>
        <w:t>th</w:t>
      </w:r>
      <w:r>
        <w:t>, I attended the Columbia County Chamber’s event to “meet and greet” the new Chamber Director</w:t>
      </w:r>
    </w:p>
    <w:p w:rsidR="00501874" w:rsidRDefault="00501874" w:rsidP="00501874">
      <w:pPr>
        <w:pStyle w:val="ListParagraph"/>
        <w:numPr>
          <w:ilvl w:val="0"/>
          <w:numId w:val="3"/>
        </w:numPr>
        <w:spacing w:before="120"/>
        <w:contextualSpacing w:val="0"/>
      </w:pPr>
      <w:r>
        <w:t>On Friday, August 19</w:t>
      </w:r>
      <w:r w:rsidRPr="00C419DD">
        <w:rPr>
          <w:vertAlign w:val="superscript"/>
        </w:rPr>
        <w:t>th</w:t>
      </w:r>
      <w:r>
        <w:t>, I facilitated a call of Rural Health Network Directors on the topic of revenue-generation.</w:t>
      </w:r>
    </w:p>
    <w:p w:rsidR="00501874" w:rsidRDefault="00501874" w:rsidP="00501874">
      <w:pPr>
        <w:rPr>
          <w:b/>
        </w:rPr>
      </w:pPr>
    </w:p>
    <w:p w:rsidR="00501874" w:rsidRPr="00870380" w:rsidRDefault="00501874" w:rsidP="00501874">
      <w:pPr>
        <w:spacing w:before="120"/>
        <w:rPr>
          <w:b/>
        </w:rPr>
      </w:pPr>
      <w:r w:rsidRPr="00870380">
        <w:rPr>
          <w:b/>
        </w:rPr>
        <w:t>Strateg</w:t>
      </w:r>
      <w:r>
        <w:rPr>
          <w:b/>
        </w:rPr>
        <w:t>y</w:t>
      </w:r>
      <w:r w:rsidRPr="00870380">
        <w:rPr>
          <w:b/>
        </w:rPr>
        <w:t xml:space="preserve"> &amp; </w:t>
      </w:r>
      <w:r>
        <w:rPr>
          <w:b/>
        </w:rPr>
        <w:t xml:space="preserve">Program </w:t>
      </w:r>
      <w:r w:rsidRPr="00870380">
        <w:rPr>
          <w:b/>
        </w:rPr>
        <w:t>Planning</w:t>
      </w:r>
    </w:p>
    <w:p w:rsidR="00501874" w:rsidRDefault="00501874" w:rsidP="00501874">
      <w:pPr>
        <w:pStyle w:val="ListParagraph"/>
        <w:numPr>
          <w:ilvl w:val="0"/>
          <w:numId w:val="1"/>
        </w:numPr>
        <w:spacing w:before="120"/>
      </w:pPr>
      <w:r>
        <w:t>The Strategic Planning Committee which includes all the members of the Executive Committee as well as Michael Cole, Chelly Hegan, and Tina Sharpe, has now met three times, on June 30</w:t>
      </w:r>
      <w:r w:rsidRPr="00EF38A5">
        <w:rPr>
          <w:vertAlign w:val="superscript"/>
        </w:rPr>
        <w:t>th</w:t>
      </w:r>
      <w:r>
        <w:t>, August 1</w:t>
      </w:r>
      <w:r w:rsidRPr="00EF38A5">
        <w:rPr>
          <w:vertAlign w:val="superscript"/>
        </w:rPr>
        <w:t>st</w:t>
      </w:r>
      <w:r>
        <w:t xml:space="preserve"> and August 22</w:t>
      </w:r>
      <w:r w:rsidRPr="00C419DD">
        <w:rPr>
          <w:vertAlign w:val="superscript"/>
        </w:rPr>
        <w:t>nd</w:t>
      </w:r>
      <w:r>
        <w:t>.  The discussion continues to be thoughtful and productive.</w:t>
      </w:r>
    </w:p>
    <w:p w:rsidR="00501874" w:rsidRPr="00EF38A5" w:rsidRDefault="00501874" w:rsidP="00501874">
      <w:pPr>
        <w:pStyle w:val="ListParagraph"/>
        <w:spacing w:before="120"/>
        <w:ind w:left="360"/>
        <w:contextualSpacing w:val="0"/>
        <w:rPr>
          <w:b/>
        </w:rPr>
      </w:pPr>
    </w:p>
    <w:p w:rsidR="00501874" w:rsidRPr="00EF38A5" w:rsidRDefault="00501874" w:rsidP="00501874">
      <w:pPr>
        <w:spacing w:before="120"/>
        <w:rPr>
          <w:b/>
        </w:rPr>
      </w:pPr>
      <w:r w:rsidRPr="00EF38A5">
        <w:rPr>
          <w:b/>
        </w:rPr>
        <w:t>Resource Development</w:t>
      </w:r>
    </w:p>
    <w:p w:rsidR="00501874" w:rsidRDefault="00501874" w:rsidP="00501874">
      <w:pPr>
        <w:pStyle w:val="ListParagraph"/>
        <w:numPr>
          <w:ilvl w:val="0"/>
          <w:numId w:val="2"/>
        </w:numPr>
        <w:spacing w:before="120"/>
        <w:contextualSpacing w:val="0"/>
      </w:pPr>
      <w:r>
        <w:t>The contract documents (budget, work plan, etc.) for the next contract year (starting October 1, 2016 and ending September 30, 2017) of the Navigator Program are awaiting approval.</w:t>
      </w:r>
    </w:p>
    <w:p w:rsidR="00501874" w:rsidRDefault="00501874" w:rsidP="00501874">
      <w:pPr>
        <w:tabs>
          <w:tab w:val="left" w:pos="1365"/>
        </w:tabs>
        <w:rPr>
          <w:b/>
        </w:rPr>
      </w:pPr>
    </w:p>
    <w:p w:rsidR="00501874" w:rsidRDefault="00501874" w:rsidP="00501874">
      <w:pPr>
        <w:tabs>
          <w:tab w:val="left" w:pos="1365"/>
        </w:tabs>
        <w:spacing w:before="120"/>
      </w:pPr>
      <w:r w:rsidRPr="00870380">
        <w:rPr>
          <w:b/>
        </w:rPr>
        <w:t>Fiscal Management</w:t>
      </w:r>
    </w:p>
    <w:p w:rsidR="00501874" w:rsidRDefault="00501874" w:rsidP="00501874">
      <w:pPr>
        <w:pStyle w:val="ListParagraph"/>
        <w:numPr>
          <w:ilvl w:val="0"/>
          <w:numId w:val="4"/>
        </w:numPr>
        <w:spacing w:before="120"/>
        <w:contextualSpacing w:val="0"/>
      </w:pPr>
      <w:r>
        <w:t xml:space="preserve">Fiscal Manager John Ray has produced a draft report for regular financial reporting to the Entire Board. </w:t>
      </w:r>
    </w:p>
    <w:p w:rsidR="00501874" w:rsidRDefault="00501874" w:rsidP="00501874">
      <w:pPr>
        <w:pStyle w:val="ListParagraph"/>
        <w:spacing w:before="120"/>
        <w:ind w:left="360"/>
        <w:contextualSpacing w:val="0"/>
      </w:pPr>
    </w:p>
    <w:p w:rsidR="00501874" w:rsidRDefault="00501874" w:rsidP="00501874">
      <w:pPr>
        <w:spacing w:before="120"/>
        <w:rPr>
          <w:b/>
        </w:rPr>
      </w:pPr>
      <w:r w:rsidRPr="00870380">
        <w:rPr>
          <w:b/>
        </w:rPr>
        <w:t xml:space="preserve">Program </w:t>
      </w:r>
      <w:r>
        <w:rPr>
          <w:b/>
        </w:rPr>
        <w:t xml:space="preserve">&amp; </w:t>
      </w:r>
      <w:r w:rsidRPr="009A7F7F">
        <w:rPr>
          <w:b/>
        </w:rPr>
        <w:t>Personnel</w:t>
      </w:r>
      <w:r>
        <w:rPr>
          <w:b/>
        </w:rPr>
        <w:t xml:space="preserve"> Management</w:t>
      </w:r>
    </w:p>
    <w:p w:rsidR="00501874" w:rsidRDefault="00501874" w:rsidP="00501874">
      <w:pPr>
        <w:pStyle w:val="ListParagraph"/>
        <w:numPr>
          <w:ilvl w:val="0"/>
          <w:numId w:val="4"/>
        </w:numPr>
        <w:spacing w:before="120"/>
        <w:contextualSpacing w:val="0"/>
      </w:pPr>
      <w:r>
        <w:t>Kim Martens, Navigator, has submitted her resignation, effective September 6</w:t>
      </w:r>
      <w:r w:rsidRPr="00C419DD">
        <w:rPr>
          <w:vertAlign w:val="superscript"/>
        </w:rPr>
        <w:t>th</w:t>
      </w:r>
      <w:r>
        <w:t xml:space="preserve">.  Kim will be going to the Office </w:t>
      </w:r>
      <w:r>
        <w:lastRenderedPageBreak/>
        <w:t xml:space="preserve">for the Aging, where she will provide counseling on Medicare enrollment and process HEAP applications.  We view it as an advantage to have someone at OFA who so thoroughly understands our programs and services and expect her to continue working closely with Consortium staff, especially in NYConnects. </w:t>
      </w:r>
    </w:p>
    <w:p w:rsidR="00501874" w:rsidRDefault="00501874" w:rsidP="00501874">
      <w:pPr>
        <w:pStyle w:val="ListParagraph"/>
        <w:numPr>
          <w:ilvl w:val="0"/>
          <w:numId w:val="4"/>
        </w:numPr>
        <w:spacing w:before="120"/>
        <w:contextualSpacing w:val="0"/>
      </w:pPr>
      <w:r>
        <w:t>Kelly McGiffert, the part-time Navigator, was an internal candidate for the full-time Navigator position vacated by Kim.  Kelly will start on a full-time basis on September 7</w:t>
      </w:r>
      <w:r w:rsidRPr="00C419DD">
        <w:rPr>
          <w:vertAlign w:val="superscript"/>
        </w:rPr>
        <w:t>th</w:t>
      </w:r>
      <w:r>
        <w:t>.</w:t>
      </w:r>
    </w:p>
    <w:p w:rsidR="00501874" w:rsidRDefault="00501874" w:rsidP="00501874">
      <w:pPr>
        <w:pStyle w:val="ListParagraph"/>
        <w:numPr>
          <w:ilvl w:val="0"/>
          <w:numId w:val="4"/>
        </w:numPr>
        <w:spacing w:before="120"/>
        <w:contextualSpacing w:val="0"/>
      </w:pPr>
      <w:r>
        <w:t>Taylor Wenk, the Information and Assistance Specialist in the NYConnects Program, was an internal candidate for the part-time position vacated by Kelly.  Taylor will start working as a Navigator 3 days per week effective September 5</w:t>
      </w:r>
      <w:r w:rsidRPr="00C419DD">
        <w:rPr>
          <w:vertAlign w:val="superscript"/>
        </w:rPr>
        <w:t>th</w:t>
      </w:r>
      <w:r>
        <w:t xml:space="preserve">; she will continue working as </w:t>
      </w:r>
      <w:proofErr w:type="gramStart"/>
      <w:r>
        <w:t>an</w:t>
      </w:r>
      <w:proofErr w:type="gramEnd"/>
      <w:r>
        <w:t xml:space="preserve"> I&amp;A Specialist in the NYConnects Program the remaining 2 days per week. Both she and Kelly go to Navigator training Sept. 7-9.</w:t>
      </w:r>
    </w:p>
    <w:p w:rsidR="00501874" w:rsidRDefault="00501874" w:rsidP="00501874"/>
    <w:p w:rsidR="00501874" w:rsidRPr="00001559" w:rsidRDefault="00501874" w:rsidP="00501874">
      <w:pPr>
        <w:spacing w:before="120"/>
        <w:rPr>
          <w:b/>
        </w:rPr>
      </w:pPr>
      <w:r w:rsidRPr="00001559">
        <w:rPr>
          <w:b/>
        </w:rPr>
        <w:t>Upcoming events</w:t>
      </w:r>
    </w:p>
    <w:p w:rsidR="00501874" w:rsidRDefault="00501874" w:rsidP="00501874">
      <w:pPr>
        <w:pStyle w:val="ListParagraph"/>
        <w:numPr>
          <w:ilvl w:val="0"/>
          <w:numId w:val="5"/>
        </w:numPr>
        <w:spacing w:before="120"/>
        <w:contextualSpacing w:val="0"/>
      </w:pPr>
      <w:r>
        <w:t>On September 4</w:t>
      </w:r>
      <w:r w:rsidRPr="00001559">
        <w:rPr>
          <w:vertAlign w:val="superscript"/>
        </w:rPr>
        <w:t>th</w:t>
      </w:r>
      <w:r>
        <w:t xml:space="preserve">, I will be attending the annual gala for the Alliance for Positive Health in Germantown.  The Alliance is a new partner (the Director, Bill Faragon, is the Chair of one of the DSRIP committees on which I serve) and they are also a major provider of care coordination services in several counties. </w:t>
      </w:r>
    </w:p>
    <w:p w:rsidR="00501874" w:rsidRDefault="00501874" w:rsidP="00501874">
      <w:pPr>
        <w:pStyle w:val="ListParagraph"/>
        <w:numPr>
          <w:ilvl w:val="0"/>
          <w:numId w:val="5"/>
        </w:numPr>
        <w:spacing w:before="120"/>
        <w:contextualSpacing w:val="0"/>
      </w:pPr>
      <w:r>
        <w:t>On Friday, September 9</w:t>
      </w:r>
      <w:r w:rsidRPr="00001559">
        <w:rPr>
          <w:vertAlign w:val="superscript"/>
        </w:rPr>
        <w:t>th</w:t>
      </w:r>
      <w:r>
        <w:t>, the second Fellowship Event will be hosted in the garden of Peter and Bette Homitzky, 15 Third Street, Athens, from 3:00-5:00 p.m. (rain date will be September 15</w:t>
      </w:r>
      <w:r w:rsidRPr="0044542C">
        <w:rPr>
          <w:vertAlign w:val="superscript"/>
        </w:rPr>
        <w:t>th</w:t>
      </w:r>
      <w:r>
        <w:t xml:space="preserve">). All Board members and their guests are welcome to attend. </w:t>
      </w:r>
    </w:p>
    <w:p w:rsidR="00501874" w:rsidRDefault="00501874" w:rsidP="00501874">
      <w:pPr>
        <w:pStyle w:val="ListParagraph"/>
        <w:numPr>
          <w:ilvl w:val="0"/>
          <w:numId w:val="5"/>
        </w:numPr>
        <w:spacing w:before="120"/>
        <w:contextualSpacing w:val="0"/>
      </w:pPr>
      <w:r>
        <w:t xml:space="preserve">I will be attending the annual conference of the New York State Association for Rural Health (NYSARH) in </w:t>
      </w:r>
      <w:r>
        <w:lastRenderedPageBreak/>
        <w:t>Watertown from September 21st through September 23rd</w:t>
      </w:r>
    </w:p>
    <w:p w:rsidR="00501874" w:rsidRDefault="00501874" w:rsidP="00501874">
      <w:pPr>
        <w:pStyle w:val="ListParagraph"/>
        <w:numPr>
          <w:ilvl w:val="0"/>
          <w:numId w:val="5"/>
        </w:numPr>
        <w:spacing w:before="120"/>
        <w:contextualSpacing w:val="0"/>
      </w:pPr>
      <w:r>
        <w:t xml:space="preserve">I will be attending the first meeting of the </w:t>
      </w:r>
      <w:proofErr w:type="spellStart"/>
      <w:r>
        <w:t>NYSHealth</w:t>
      </w:r>
      <w:proofErr w:type="spellEnd"/>
      <w:r>
        <w:t xml:space="preserve"> Foundation’s Community Advisory Board in NYC on October 19</w:t>
      </w:r>
      <w:r w:rsidRPr="00001559">
        <w:rPr>
          <w:vertAlign w:val="superscript"/>
        </w:rPr>
        <w:t>th</w:t>
      </w:r>
      <w:r>
        <w:t xml:space="preserve">. </w:t>
      </w:r>
    </w:p>
    <w:p w:rsidR="00501874" w:rsidRDefault="00501874" w:rsidP="00501874">
      <w:pPr>
        <w:pStyle w:val="ListParagraph"/>
        <w:numPr>
          <w:ilvl w:val="0"/>
          <w:numId w:val="5"/>
        </w:numPr>
        <w:spacing w:before="120"/>
        <w:contextualSpacing w:val="0"/>
      </w:pPr>
      <w:r>
        <w:t xml:space="preserve">I will be speaking at </w:t>
      </w:r>
      <w:r w:rsidRPr="00BF7A0D">
        <w:rPr>
          <w:i/>
          <w:iCs/>
        </w:rPr>
        <w:t>Getting There - A Conference on Bridging the Transportation and Health Care Gap,</w:t>
      </w:r>
      <w:r>
        <w:t> scheduled for October 26th.</w:t>
      </w:r>
    </w:p>
    <w:p w:rsidR="00501874" w:rsidRDefault="00501874" w:rsidP="00501874">
      <w:pPr>
        <w:pStyle w:val="ListParagraph"/>
        <w:numPr>
          <w:ilvl w:val="0"/>
          <w:numId w:val="5"/>
        </w:numPr>
        <w:spacing w:before="120"/>
        <w:contextualSpacing w:val="0"/>
      </w:pPr>
      <w:r>
        <w:t>I will be addressing the NYS Rural Health Council, a statewide rural health policy council convened by the NYS DOH, at its meeting at Empire State Plaza on October 27</w:t>
      </w:r>
      <w:r w:rsidRPr="00BF7A0D">
        <w:rPr>
          <w:vertAlign w:val="superscript"/>
        </w:rPr>
        <w:t>th</w:t>
      </w:r>
      <w:r>
        <w:t>.</w:t>
      </w:r>
    </w:p>
    <w:p w:rsidR="00501874" w:rsidRDefault="00501874"/>
    <w:sectPr w:rsidR="00501874" w:rsidSect="00B770A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2F"/>
    <w:rsid w:val="0017501B"/>
    <w:rsid w:val="0036512F"/>
    <w:rsid w:val="004207AD"/>
    <w:rsid w:val="00474074"/>
    <w:rsid w:val="004A56C5"/>
    <w:rsid w:val="004E7258"/>
    <w:rsid w:val="00501874"/>
    <w:rsid w:val="006D030C"/>
    <w:rsid w:val="006F0FE0"/>
    <w:rsid w:val="008B5C76"/>
    <w:rsid w:val="00A606EC"/>
    <w:rsid w:val="00B24D27"/>
    <w:rsid w:val="00B770A1"/>
    <w:rsid w:val="00C922E6"/>
    <w:rsid w:val="00EB6B51"/>
    <w:rsid w:val="00F5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23A1-BB69-4D45-898F-39A06EF3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512F"/>
    <w:pPr>
      <w:widowControl w:val="0"/>
      <w:spacing w:after="0" w:line="240" w:lineRule="auto"/>
    </w:pPr>
    <w:rPr>
      <w:rFonts w:asciiTheme="minorHAnsi" w:hAnsiTheme="minorHAnsi" w:cstheme="minorBidi"/>
      <w:sz w:val="22"/>
      <w:szCs w:val="22"/>
    </w:rPr>
  </w:style>
  <w:style w:type="paragraph" w:styleId="Heading1">
    <w:name w:val="heading 1"/>
    <w:basedOn w:val="Normal"/>
    <w:link w:val="Heading1Char"/>
    <w:uiPriority w:val="9"/>
    <w:qFormat/>
    <w:rsid w:val="0017501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12F"/>
    <w:pPr>
      <w:widowControl/>
      <w:tabs>
        <w:tab w:val="center" w:pos="4680"/>
        <w:tab w:val="right" w:pos="9360"/>
      </w:tabs>
    </w:pPr>
  </w:style>
  <w:style w:type="character" w:customStyle="1" w:styleId="HeaderChar">
    <w:name w:val="Header Char"/>
    <w:basedOn w:val="DefaultParagraphFont"/>
    <w:link w:val="Header"/>
    <w:uiPriority w:val="99"/>
    <w:semiHidden/>
    <w:rsid w:val="0036512F"/>
    <w:rPr>
      <w:rFonts w:asciiTheme="minorHAnsi" w:hAnsiTheme="minorHAnsi" w:cstheme="minorBidi"/>
      <w:sz w:val="22"/>
      <w:szCs w:val="22"/>
    </w:rPr>
  </w:style>
  <w:style w:type="character" w:customStyle="1" w:styleId="Heading1Char">
    <w:name w:val="Heading 1 Char"/>
    <w:basedOn w:val="DefaultParagraphFont"/>
    <w:link w:val="Heading1"/>
    <w:uiPriority w:val="9"/>
    <w:rsid w:val="0017501B"/>
    <w:rPr>
      <w:rFonts w:ascii="Times New Roman" w:eastAsia="Times New Roman" w:hAnsi="Times New Roman"/>
      <w:b/>
      <w:bCs/>
      <w:kern w:val="36"/>
      <w:sz w:val="48"/>
      <w:szCs w:val="48"/>
    </w:rPr>
  </w:style>
  <w:style w:type="character" w:styleId="Strong">
    <w:name w:val="Strong"/>
    <w:basedOn w:val="DefaultParagraphFont"/>
    <w:uiPriority w:val="22"/>
    <w:qFormat/>
    <w:rsid w:val="0017501B"/>
    <w:rPr>
      <w:b/>
      <w:bCs/>
    </w:rPr>
  </w:style>
  <w:style w:type="paragraph" w:styleId="ListParagraph">
    <w:name w:val="List Paragraph"/>
    <w:basedOn w:val="Normal"/>
    <w:uiPriority w:val="34"/>
    <w:qFormat/>
    <w:rsid w:val="00501874"/>
    <w:pPr>
      <w:widowControl/>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20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97134">
      <w:bodyDiv w:val="1"/>
      <w:marLeft w:val="0"/>
      <w:marRight w:val="0"/>
      <w:marTop w:val="0"/>
      <w:marBottom w:val="0"/>
      <w:divBdr>
        <w:top w:val="none" w:sz="0" w:space="0" w:color="auto"/>
        <w:left w:val="none" w:sz="0" w:space="0" w:color="auto"/>
        <w:bottom w:val="none" w:sz="0" w:space="0" w:color="auto"/>
        <w:right w:val="none" w:sz="0" w:space="0" w:color="auto"/>
      </w:divBdr>
    </w:div>
    <w:div w:id="1003708580">
      <w:bodyDiv w:val="1"/>
      <w:marLeft w:val="0"/>
      <w:marRight w:val="0"/>
      <w:marTop w:val="0"/>
      <w:marBottom w:val="0"/>
      <w:divBdr>
        <w:top w:val="none" w:sz="0" w:space="0" w:color="auto"/>
        <w:left w:val="none" w:sz="0" w:space="0" w:color="auto"/>
        <w:bottom w:val="none" w:sz="0" w:space="0" w:color="auto"/>
        <w:right w:val="none" w:sz="0" w:space="0" w:color="auto"/>
      </w:divBdr>
    </w:div>
    <w:div w:id="182611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8-24-2016%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oyle\AppData\Local\Microsoft\Windows\Temporary%20Internet%20Files\Content.Outlook\TWLDP1M1\CCCHC%20Executive%20Committe%20Fiscal%20Highlights%2008-24-2016%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384946236559138"/>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Data!$B$3</c:f>
              <c:strCache>
                <c:ptCount val="1"/>
                <c:pt idx="0">
                  <c:v>Balance</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Data!$A$4:$A$172</c:f>
              <c:numCache>
                <c:formatCode>m/d/yyyy</c:formatCode>
                <c:ptCount val="169"/>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numCache>
            </c:numRef>
          </c:cat>
          <c:val>
            <c:numRef>
              <c:f>Data!$B$4:$B$172</c:f>
              <c:numCache>
                <c:formatCode>#,##0_);[Red]\(#,##0\)</c:formatCode>
                <c:ptCount val="169"/>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numCache>
            </c:numRef>
          </c:val>
          <c:smooth val="0"/>
        </c:ser>
        <c:dLbls>
          <c:showLegendKey val="0"/>
          <c:showVal val="0"/>
          <c:showCatName val="0"/>
          <c:showSerName val="0"/>
          <c:showPercent val="0"/>
          <c:showBubbleSize val="0"/>
        </c:dLbls>
        <c:smooth val="0"/>
        <c:axId val="141526520"/>
        <c:axId val="141526904"/>
      </c:lineChart>
      <c:dateAx>
        <c:axId val="14152652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26904"/>
        <c:crosses val="autoZero"/>
        <c:auto val="1"/>
        <c:lblOffset val="100"/>
        <c:baseTimeUnit val="days"/>
      </c:dateAx>
      <c:valAx>
        <c:axId val="141526904"/>
        <c:scaling>
          <c:orientation val="minMax"/>
        </c:scaling>
        <c:delete val="0"/>
        <c:axPos val="l"/>
        <c:majorGridlines>
          <c:spPr>
            <a:ln w="9525" cap="flat" cmpd="sng" algn="ctr">
              <a:solidFill>
                <a:schemeClr val="accent1"/>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526520"/>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6567815903"/>
          <c:y val="0.16245370370370371"/>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'Fiscal Highlights'!$V$59:$V$88</c:f>
              <c:numCache>
                <c:formatCode>General</c:formatCode>
                <c:ptCount val="30"/>
                <c:pt idx="6" formatCode="mmm\-yy">
                  <c:v>42156</c:v>
                </c:pt>
                <c:pt idx="7" formatCode="mmm\-yy">
                  <c:v>42186</c:v>
                </c:pt>
                <c:pt idx="8" formatCode="mmm\-yy">
                  <c:v>42217</c:v>
                </c:pt>
                <c:pt idx="9" formatCode="mmm\-yy">
                  <c:v>42248</c:v>
                </c:pt>
                <c:pt idx="12" formatCode="mmm\-yy">
                  <c:v>42278</c:v>
                </c:pt>
                <c:pt idx="13" formatCode="mmm\-yy">
                  <c:v>42309</c:v>
                </c:pt>
                <c:pt idx="14" formatCode="mmm\-yy">
                  <c:v>42339</c:v>
                </c:pt>
                <c:pt idx="15" formatCode="mmm\-yy">
                  <c:v>42370</c:v>
                </c:pt>
                <c:pt idx="16" formatCode="mmm\-yy">
                  <c:v>42401</c:v>
                </c:pt>
                <c:pt idx="17" formatCode="mmm\-yy">
                  <c:v>42430</c:v>
                </c:pt>
                <c:pt idx="18" formatCode="mmm\-yy">
                  <c:v>42461</c:v>
                </c:pt>
                <c:pt idx="19" formatCode="mmm\-yy">
                  <c:v>42491</c:v>
                </c:pt>
                <c:pt idx="20" formatCode="mmm\-yy">
                  <c:v>42551</c:v>
                </c:pt>
                <c:pt idx="21" formatCode="mmm\-yy">
                  <c:v>42582</c:v>
                </c:pt>
              </c:numCache>
            </c:numRef>
          </c:cat>
          <c:val>
            <c:numRef>
              <c:f>'Fiscal Highlights'!$W$59:$W$88</c:f>
              <c:numCache>
                <c:formatCode>General</c:formatCode>
                <c:ptCount val="30"/>
                <c:pt idx="6" formatCode="&quot;$&quot;#,##0_);[Red]\(&quot;$&quot;#,##0\)">
                  <c:v>246281</c:v>
                </c:pt>
                <c:pt idx="7" formatCode="&quot;$&quot;#,##0_);[Red]\(&quot;$&quot;#,##0\)">
                  <c:v>271416.40000000002</c:v>
                </c:pt>
                <c:pt idx="8" formatCode="&quot;$&quot;#,##0_);[Red]\(&quot;$&quot;#,##0\)">
                  <c:v>147240.4</c:v>
                </c:pt>
                <c:pt idx="9" formatCode="&quot;$&quot;#,##0_);[Red]\(&quot;$&quot;#,##0\)">
                  <c:v>156700</c:v>
                </c:pt>
                <c:pt idx="12" formatCode="&quot;$&quot;#,##0_);[Red]\(&quot;$&quot;#,##0\)">
                  <c:v>224005.57</c:v>
                </c:pt>
                <c:pt idx="13" formatCode="&quot;$&quot;#,##0_);[Red]\(&quot;$&quot;#,##0\)">
                  <c:v>212998.66</c:v>
                </c:pt>
                <c:pt idx="14" formatCode="&quot;$&quot;#,##0_);[Red]\(&quot;$&quot;#,##0\)">
                  <c:v>256955.64</c:v>
                </c:pt>
                <c:pt idx="15" formatCode="&quot;$&quot;#,##0_);[Red]\(&quot;$&quot;#,##0\)">
                  <c:v>368765.26</c:v>
                </c:pt>
                <c:pt idx="16" formatCode="&quot;$&quot;#,##0_);[Red]\(&quot;$&quot;#,##0\)">
                  <c:v>294586.56</c:v>
                </c:pt>
                <c:pt idx="17" formatCode="&quot;$&quot;#,##0_);[Red]\(&quot;$&quot;#,##0\)">
                  <c:v>253840.62</c:v>
                </c:pt>
                <c:pt idx="18" formatCode="&quot;$&quot;#,##0_);[Red]\(&quot;$&quot;#,##0\)">
                  <c:v>293601.03999999998</c:v>
                </c:pt>
                <c:pt idx="19" formatCode="&quot;$&quot;#,##0_);[Red]\(&quot;$&quot;#,##0\)">
                  <c:v>333425.09999999998</c:v>
                </c:pt>
                <c:pt idx="20" formatCode="&quot;$&quot;#,##0_);[Red]\(&quot;$&quot;#,##0\)">
                  <c:v>376855.16</c:v>
                </c:pt>
                <c:pt idx="21" formatCode="&quot;$&quot;#,##0_);[Red]\(&quot;$&quot;#,##0\)">
                  <c:v>285263.78999999998</c:v>
                </c:pt>
              </c:numCache>
            </c:numRef>
          </c:val>
        </c:ser>
        <c:dLbls>
          <c:showLegendKey val="0"/>
          <c:showVal val="0"/>
          <c:showCatName val="0"/>
          <c:showSerName val="0"/>
          <c:showPercent val="0"/>
          <c:showBubbleSize val="0"/>
        </c:dLbls>
        <c:gapWidth val="219"/>
        <c:overlap val="-27"/>
        <c:axId val="142425640"/>
        <c:axId val="141340664"/>
      </c:barChart>
      <c:dateAx>
        <c:axId val="142425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340664"/>
        <c:crosses val="autoZero"/>
        <c:auto val="1"/>
        <c:lblOffset val="100"/>
        <c:baseTimeUnit val="months"/>
      </c:dateAx>
      <c:valAx>
        <c:axId val="141340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42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2481</Words>
  <Characters>14147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2016-09-28T16:30:00Z</dcterms:created>
  <dcterms:modified xsi:type="dcterms:W3CDTF">2016-09-28T16:30:00Z</dcterms:modified>
</cp:coreProperties>
</file>