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 xml:space="preserve">Notes from the meeting of </w:t>
      </w:r>
      <w:r w:rsidR="00D47589">
        <w:rPr>
          <w:b/>
        </w:rPr>
        <w:t>October 26</w:t>
      </w:r>
      <w:r>
        <w:rPr>
          <w:b/>
        </w:rPr>
        <w:t>, 2016</w:t>
      </w:r>
    </w:p>
    <w:p w:rsidR="0036512F" w:rsidRDefault="0036512F" w:rsidP="0036512F">
      <w:pPr>
        <w:pStyle w:val="Header"/>
        <w:rPr>
          <w:b/>
        </w:rPr>
      </w:pPr>
    </w:p>
    <w:p w:rsidR="0036512F" w:rsidRDefault="0036512F" w:rsidP="0036512F">
      <w:r>
        <w:rPr>
          <w:b/>
        </w:rPr>
        <w:t xml:space="preserve">Attending Members: </w:t>
      </w:r>
      <w:r w:rsidR="00D47589">
        <w:t>Robin Andrews,</w:t>
      </w:r>
      <w:r>
        <w:t xml:space="preserve"> Art Proper, Leitha Pierro, Theresa Lux</w:t>
      </w:r>
    </w:p>
    <w:p w:rsidR="0036512F" w:rsidRDefault="0036512F" w:rsidP="0036512F"/>
    <w:p w:rsidR="0036512F" w:rsidRDefault="0036512F" w:rsidP="0036512F">
      <w:r>
        <w:rPr>
          <w:b/>
        </w:rPr>
        <w:t>Absent Members:</w:t>
      </w:r>
      <w:r>
        <w:t xml:space="preserve"> </w:t>
      </w:r>
      <w:r w:rsidR="00D47589">
        <w:t>Linda Tripp, Beth Schuster, Tam Mustapha</w:t>
      </w:r>
    </w:p>
    <w:p w:rsidR="0036512F" w:rsidRDefault="0036512F" w:rsidP="0036512F"/>
    <w:p w:rsidR="0036512F" w:rsidRDefault="0036512F" w:rsidP="0036512F">
      <w:pPr>
        <w:rPr>
          <w:b/>
        </w:rPr>
      </w:pPr>
      <w:r>
        <w:rPr>
          <w:b/>
        </w:rPr>
        <w:t xml:space="preserve">Staff Members: </w:t>
      </w:r>
      <w:r w:rsidR="00D47589">
        <w:t>Lisa Thomas</w:t>
      </w:r>
      <w:r>
        <w:t>, John Ray, and Aleshia Boyle</w:t>
      </w:r>
      <w:r>
        <w:rPr>
          <w:b/>
        </w:rPr>
        <w:t xml:space="preserve"> </w:t>
      </w:r>
    </w:p>
    <w:p w:rsidR="0036512F" w:rsidRDefault="0036512F" w:rsidP="0036512F"/>
    <w:p w:rsidR="0036512F" w:rsidRDefault="0036512F" w:rsidP="0036512F">
      <w:pPr>
        <w:rPr>
          <w:b/>
        </w:rPr>
      </w:pPr>
      <w:r>
        <w:rPr>
          <w:b/>
        </w:rPr>
        <w:t>CALL TO ORDER</w:t>
      </w:r>
    </w:p>
    <w:p w:rsidR="0036512F" w:rsidRDefault="0036512F" w:rsidP="0036512F">
      <w:r>
        <w:t xml:space="preserve">Meeting was called to order at 9:00 a.m. by </w:t>
      </w:r>
      <w:r w:rsidR="00D47589">
        <w:t>Vice President Theresa Lux</w:t>
      </w:r>
      <w:r>
        <w:t>.</w:t>
      </w:r>
    </w:p>
    <w:p w:rsidR="0036512F" w:rsidRDefault="0036512F" w:rsidP="0036512F">
      <w:pPr>
        <w:spacing w:line="276" w:lineRule="auto"/>
      </w:pPr>
    </w:p>
    <w:p w:rsidR="0036512F" w:rsidRDefault="0036512F" w:rsidP="0036512F">
      <w:pPr>
        <w:spacing w:line="276" w:lineRule="auto"/>
        <w:rPr>
          <w:u w:val="single"/>
        </w:rPr>
      </w:pPr>
      <w:r>
        <w:rPr>
          <w:u w:val="single"/>
        </w:rPr>
        <w:t>Fiscal Highlights</w:t>
      </w:r>
    </w:p>
    <w:p w:rsidR="0036512F" w:rsidRDefault="0036512F" w:rsidP="0036512F">
      <w:r>
        <w:t>John Ray presented the Fiscal Highlights report (see attached).</w:t>
      </w:r>
    </w:p>
    <w:p w:rsidR="0036512F" w:rsidRDefault="0036512F" w:rsidP="0036512F"/>
    <w:p w:rsidR="0036512F" w:rsidRDefault="00D47589" w:rsidP="00EB6B51">
      <w:r>
        <w:t>John briefly reported that Carol Hausamann from Marvin and Company will attend the December 7</w:t>
      </w:r>
      <w:r w:rsidRPr="00D47589">
        <w:rPr>
          <w:vertAlign w:val="superscript"/>
        </w:rPr>
        <w:t>th</w:t>
      </w:r>
      <w:r>
        <w:t xml:space="preserve"> Board meeting to present on the scope of the audit. Carol expects to begin the audit in early December and will start the field work in February.</w:t>
      </w:r>
    </w:p>
    <w:p w:rsidR="0036512F" w:rsidRDefault="0036512F" w:rsidP="0036512F"/>
    <w:p w:rsidR="0036512F" w:rsidRDefault="0036512F" w:rsidP="0036512F">
      <w:pPr>
        <w:spacing w:line="276" w:lineRule="auto"/>
      </w:pPr>
      <w:r>
        <w:rPr>
          <w:i/>
        </w:rPr>
        <w:t>Following the delivery of the Fiscal Highlights report</w:t>
      </w:r>
      <w:r w:rsidR="00D47589">
        <w:rPr>
          <w:i/>
        </w:rPr>
        <w:t xml:space="preserve"> and update on the auditor</w:t>
      </w:r>
      <w:r>
        <w:rPr>
          <w:i/>
        </w:rPr>
        <w:t>, John Ray exited the meeting.</w:t>
      </w:r>
    </w:p>
    <w:p w:rsidR="0036512F" w:rsidRDefault="0036512F" w:rsidP="0036512F">
      <w:pPr>
        <w:spacing w:line="276" w:lineRule="auto"/>
        <w:rPr>
          <w:b/>
        </w:rPr>
      </w:pPr>
    </w:p>
    <w:p w:rsidR="0036512F" w:rsidRDefault="0036512F" w:rsidP="0036512F">
      <w:pPr>
        <w:spacing w:line="276" w:lineRule="auto"/>
        <w:rPr>
          <w:u w:val="single"/>
        </w:rPr>
      </w:pPr>
      <w:r>
        <w:rPr>
          <w:u w:val="single"/>
        </w:rPr>
        <w:t>Executive Director’s Report</w:t>
      </w:r>
    </w:p>
    <w:p w:rsidR="0036512F" w:rsidRDefault="0036512F" w:rsidP="0036512F">
      <w:pPr>
        <w:spacing w:line="276" w:lineRule="auto"/>
      </w:pPr>
      <w:r>
        <w:t xml:space="preserve">At this time, </w:t>
      </w:r>
      <w:r w:rsidR="00D47589">
        <w:t>members reviewed the Executive Director’s Report</w:t>
      </w:r>
      <w:r>
        <w:t xml:space="preserve"> (see attached). </w:t>
      </w:r>
    </w:p>
    <w:p w:rsidR="0036512F" w:rsidRDefault="0036512F" w:rsidP="0036512F">
      <w:pPr>
        <w:spacing w:line="276" w:lineRule="auto"/>
      </w:pPr>
    </w:p>
    <w:p w:rsidR="0036512F" w:rsidRDefault="00D47589" w:rsidP="0036512F">
      <w:pPr>
        <w:spacing w:line="276" w:lineRule="auto"/>
      </w:pPr>
      <w:r>
        <w:rPr>
          <w:u w:val="single"/>
        </w:rPr>
        <w:t>Discussion on ED evaluation and contracting process</w:t>
      </w:r>
    </w:p>
    <w:p w:rsidR="00D47589" w:rsidRDefault="004207AD" w:rsidP="00D47589">
      <w:pPr>
        <w:spacing w:line="276" w:lineRule="auto"/>
      </w:pPr>
      <w:r>
        <w:t>M</w:t>
      </w:r>
      <w:r w:rsidR="0036512F">
        <w:t xml:space="preserve">embers </w:t>
      </w:r>
      <w:r w:rsidR="00D47589">
        <w:t>reviewed and made minor revisions to the ED Evaluation Tool. Once those revisions are made, Aleshia will email and mail the tool out on Monday, October 31</w:t>
      </w:r>
      <w:r w:rsidR="00D47589" w:rsidRPr="00D47589">
        <w:rPr>
          <w:vertAlign w:val="superscript"/>
        </w:rPr>
        <w:t>st</w:t>
      </w:r>
      <w:r w:rsidR="00D47589">
        <w:t xml:space="preserve"> to all members of the CCCHC Board requesting them to send the evaluation back to Art Proper by Monday, November 21</w:t>
      </w:r>
      <w:r w:rsidR="00D47589" w:rsidRPr="00D47589">
        <w:rPr>
          <w:vertAlign w:val="superscript"/>
        </w:rPr>
        <w:t>st</w:t>
      </w:r>
      <w:r w:rsidR="00D47589">
        <w:t>. It was also agreed that Claire should submit her self-evaluation by that date as well.</w:t>
      </w:r>
    </w:p>
    <w:p w:rsidR="00E6731B" w:rsidRDefault="00E6731B" w:rsidP="00D47589">
      <w:pPr>
        <w:spacing w:line="276" w:lineRule="auto"/>
      </w:pPr>
    </w:p>
    <w:p w:rsidR="00E6731B" w:rsidRDefault="00E6731B" w:rsidP="00D47589">
      <w:pPr>
        <w:spacing w:line="276" w:lineRule="auto"/>
      </w:pPr>
      <w:r>
        <w:t>To make sure the contract is drafted and signed by December 31</w:t>
      </w:r>
      <w:r w:rsidRPr="00E6731B">
        <w:rPr>
          <w:vertAlign w:val="superscript"/>
        </w:rPr>
        <w:t>st</w:t>
      </w:r>
      <w:r>
        <w:t>, the Committee wi</w:t>
      </w:r>
      <w:r w:rsidR="00191FE7">
        <w:t>ll have an Executive Session at its next meeting to discuss the evaluations and contract. It was requested that John Ray provide a current total compensation package for this meeting</w:t>
      </w:r>
      <w:r w:rsidR="00724E32">
        <w:t>.</w:t>
      </w:r>
      <w:r w:rsidR="00191FE7">
        <w:t xml:space="preserve"> </w:t>
      </w:r>
      <w:r w:rsidR="00716601">
        <w:t>During this discussion the Committee agreed to move the regularly scheduled Executive Committee meeting in November to be on Wednesday, November 30</w:t>
      </w:r>
      <w:r w:rsidR="00716601" w:rsidRPr="00716601">
        <w:rPr>
          <w:vertAlign w:val="superscript"/>
        </w:rPr>
        <w:t>th</w:t>
      </w:r>
      <w:r w:rsidR="00716601">
        <w:t xml:space="preserve">. </w:t>
      </w:r>
    </w:p>
    <w:p w:rsidR="00724E32" w:rsidRDefault="00724E32" w:rsidP="00D47589">
      <w:pPr>
        <w:spacing w:line="276" w:lineRule="auto"/>
      </w:pPr>
    </w:p>
    <w:p w:rsidR="00C922E6" w:rsidRDefault="00724E32" w:rsidP="00D47589">
      <w:pPr>
        <w:spacing w:line="276" w:lineRule="auto"/>
      </w:pPr>
      <w:r>
        <w:t>Before the meeting adjourned, it was suggested to have a little holiday celebration after the Board meeting on December 7</w:t>
      </w:r>
      <w:r w:rsidRPr="00724E32">
        <w:rPr>
          <w:vertAlign w:val="superscript"/>
        </w:rPr>
        <w:t>th</w:t>
      </w:r>
      <w:r>
        <w:t>. Robin will discuss this suggestion at the Governance Committee meeting on November 1</w:t>
      </w:r>
      <w:r w:rsidRPr="00724E32">
        <w:rPr>
          <w:vertAlign w:val="superscript"/>
        </w:rPr>
        <w:t>st</w:t>
      </w:r>
      <w:r>
        <w:t xml:space="preserve">. </w:t>
      </w:r>
    </w:p>
    <w:p w:rsidR="0036512F" w:rsidRDefault="0036512F" w:rsidP="0036512F">
      <w:pPr>
        <w:spacing w:before="240" w:line="276" w:lineRule="auto"/>
        <w:rPr>
          <w:b/>
        </w:rPr>
      </w:pPr>
      <w:r>
        <w:rPr>
          <w:b/>
        </w:rPr>
        <w:t>ADJOURNMENT</w:t>
      </w:r>
    </w:p>
    <w:p w:rsidR="0036512F" w:rsidRDefault="00724E32" w:rsidP="0036512F">
      <w:pPr>
        <w:spacing w:line="276" w:lineRule="auto"/>
      </w:pPr>
      <w:r>
        <w:t>The meeting adjourned at 9:47 a.m.</w:t>
      </w:r>
    </w:p>
    <w:p w:rsidR="00501874" w:rsidRDefault="00501874" w:rsidP="0036512F">
      <w:pPr>
        <w:spacing w:line="276" w:lineRule="auto"/>
      </w:pPr>
    </w:p>
    <w:p w:rsidR="00501874" w:rsidRDefault="00501874" w:rsidP="00501874">
      <w:pPr>
        <w:jc w:val="both"/>
        <w:rPr>
          <w:b/>
        </w:rPr>
      </w:pPr>
      <w:r>
        <w:t xml:space="preserve">The next Executive Committee meeting is scheduled for </w:t>
      </w:r>
      <w:r w:rsidR="00724E32">
        <w:rPr>
          <w:b/>
        </w:rPr>
        <w:t>November 30</w:t>
      </w:r>
      <w:r>
        <w:rPr>
          <w:b/>
        </w:rPr>
        <w:t>, 2016.</w:t>
      </w:r>
    </w:p>
    <w:tbl>
      <w:tblPr>
        <w:tblpPr w:leftFromText="180" w:rightFromText="180" w:vertAnchor="text" w:horzAnchor="margin" w:tblpXSpec="center" w:tblpY="-1153"/>
        <w:tblW w:w="11790" w:type="dxa"/>
        <w:tblLayout w:type="fixed"/>
        <w:tblLook w:val="04A0" w:firstRow="1" w:lastRow="0" w:firstColumn="1" w:lastColumn="0" w:noHBand="0" w:noVBand="1"/>
      </w:tblPr>
      <w:tblGrid>
        <w:gridCol w:w="270"/>
        <w:gridCol w:w="3510"/>
        <w:gridCol w:w="686"/>
        <w:gridCol w:w="1474"/>
        <w:gridCol w:w="1890"/>
        <w:gridCol w:w="1980"/>
        <w:gridCol w:w="1980"/>
      </w:tblGrid>
      <w:tr w:rsidR="002D423D" w:rsidRPr="00EE1086" w:rsidTr="002D423D">
        <w:trPr>
          <w:trHeight w:val="465"/>
        </w:trPr>
        <w:tc>
          <w:tcPr>
            <w:tcW w:w="11790" w:type="dxa"/>
            <w:gridSpan w:val="7"/>
            <w:tcBorders>
              <w:top w:val="nil"/>
              <w:left w:val="nil"/>
              <w:bottom w:val="nil"/>
              <w:right w:val="nil"/>
            </w:tcBorders>
            <w:shd w:val="clear" w:color="auto" w:fill="auto"/>
            <w:noWrap/>
            <w:vAlign w:val="center"/>
            <w:hideMark/>
          </w:tcPr>
          <w:p w:rsidR="002D423D" w:rsidRPr="00EE1086" w:rsidRDefault="002D423D" w:rsidP="00EE1086">
            <w:pPr>
              <w:widowControl/>
              <w:jc w:val="center"/>
              <w:rPr>
                <w:rFonts w:ascii="Calibri" w:eastAsia="Times New Roman" w:hAnsi="Calibri" w:cs="Times New Roman"/>
                <w:b/>
                <w:bCs/>
                <w:color w:val="000000"/>
                <w:sz w:val="36"/>
                <w:szCs w:val="36"/>
              </w:rPr>
            </w:pPr>
            <w:r w:rsidRPr="00EE1086">
              <w:rPr>
                <w:rFonts w:ascii="Calibri" w:eastAsia="Times New Roman" w:hAnsi="Calibri" w:cs="Times New Roman"/>
                <w:b/>
                <w:bCs/>
                <w:color w:val="000000"/>
                <w:sz w:val="36"/>
                <w:szCs w:val="36"/>
              </w:rPr>
              <w:lastRenderedPageBreak/>
              <w:t xml:space="preserve">   Fiscal Highlights</w:t>
            </w:r>
          </w:p>
        </w:tc>
      </w:tr>
      <w:tr w:rsidR="002D423D" w:rsidRPr="00EE1086" w:rsidTr="002D423D">
        <w:trPr>
          <w:trHeight w:val="465"/>
        </w:trPr>
        <w:tc>
          <w:tcPr>
            <w:tcW w:w="11790" w:type="dxa"/>
            <w:gridSpan w:val="7"/>
            <w:tcBorders>
              <w:top w:val="nil"/>
              <w:left w:val="nil"/>
              <w:bottom w:val="nil"/>
              <w:right w:val="nil"/>
            </w:tcBorders>
            <w:shd w:val="clear" w:color="auto" w:fill="auto"/>
            <w:noWrap/>
            <w:vAlign w:val="center"/>
            <w:hideMark/>
          </w:tcPr>
          <w:p w:rsidR="002D423D" w:rsidRPr="00EE1086" w:rsidRDefault="002D423D" w:rsidP="00EE1086">
            <w:pPr>
              <w:widowControl/>
              <w:ind w:left="342"/>
              <w:jc w:val="center"/>
              <w:rPr>
                <w:rFonts w:ascii="Calibri" w:eastAsia="Times New Roman" w:hAnsi="Calibri" w:cs="Times New Roman"/>
                <w:b/>
                <w:bCs/>
                <w:color w:val="000000"/>
                <w:sz w:val="36"/>
                <w:szCs w:val="36"/>
              </w:rPr>
            </w:pPr>
            <w:r w:rsidRPr="00EE1086">
              <w:rPr>
                <w:rFonts w:ascii="Calibri" w:eastAsia="Times New Roman" w:hAnsi="Calibri" w:cs="Times New Roman"/>
                <w:b/>
                <w:bCs/>
                <w:color w:val="000000"/>
                <w:sz w:val="36"/>
                <w:szCs w:val="36"/>
              </w:rPr>
              <w:t>Wednesday, October 26, 2016</w:t>
            </w:r>
          </w:p>
        </w:tc>
      </w:tr>
      <w:tr w:rsidR="002D423D" w:rsidRPr="00EE1086" w:rsidTr="002D423D">
        <w:trPr>
          <w:trHeight w:val="315"/>
        </w:trPr>
        <w:tc>
          <w:tcPr>
            <w:tcW w:w="11790" w:type="dxa"/>
            <w:gridSpan w:val="7"/>
            <w:tcBorders>
              <w:top w:val="nil"/>
              <w:left w:val="nil"/>
              <w:bottom w:val="nil"/>
              <w:right w:val="nil"/>
            </w:tcBorders>
            <w:shd w:val="clear" w:color="auto" w:fill="auto"/>
            <w:vAlign w:val="bottom"/>
            <w:hideMark/>
          </w:tcPr>
          <w:p w:rsidR="002D423D" w:rsidRPr="00EE1086" w:rsidRDefault="002D423D" w:rsidP="00EE1086">
            <w:pPr>
              <w:widowControl/>
              <w:jc w:val="center"/>
              <w:rPr>
                <w:rFonts w:ascii="Wide Latin" w:eastAsia="Times New Roman" w:hAnsi="Wide Latin" w:cs="Times New Roman"/>
                <w:color w:val="000000"/>
                <w:sz w:val="24"/>
                <w:szCs w:val="24"/>
              </w:rPr>
            </w:pPr>
            <w:r w:rsidRPr="00EE1086">
              <w:rPr>
                <w:rFonts w:ascii="Wide Latin" w:eastAsia="Times New Roman" w:hAnsi="Wide Latin" w:cs="Times New Roman"/>
                <w:color w:val="000000"/>
                <w:sz w:val="24"/>
                <w:szCs w:val="24"/>
              </w:rPr>
              <w:t>Statement of Financial Position</w:t>
            </w:r>
          </w:p>
        </w:tc>
      </w:tr>
      <w:tr w:rsidR="002D423D" w:rsidRPr="00EE1086" w:rsidTr="002D423D">
        <w:trPr>
          <w:trHeight w:val="1182"/>
        </w:trPr>
        <w:tc>
          <w:tcPr>
            <w:tcW w:w="11790" w:type="dxa"/>
            <w:gridSpan w:val="7"/>
            <w:tcBorders>
              <w:top w:val="nil"/>
              <w:left w:val="nil"/>
              <w:bottom w:val="nil"/>
              <w:right w:val="nil"/>
            </w:tcBorders>
            <w:shd w:val="clear" w:color="auto" w:fill="auto"/>
            <w:hideMark/>
          </w:tcPr>
          <w:p w:rsidR="002D423D" w:rsidRPr="00EE1086" w:rsidRDefault="002D423D" w:rsidP="00EE1086">
            <w:pPr>
              <w:widowControl/>
              <w:tabs>
                <w:tab w:val="left" w:pos="12042"/>
              </w:tabs>
              <w:ind w:left="432"/>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b/>
                <w:bCs/>
                <w:color w:val="000000"/>
                <w:sz w:val="24"/>
                <w:szCs w:val="24"/>
              </w:rPr>
              <w:t xml:space="preserve"> Cash</w:t>
            </w:r>
            <w:r w:rsidRPr="00EE1086">
              <w:rPr>
                <w:rFonts w:ascii="Calibri" w:eastAsia="Times New Roman" w:hAnsi="Calibri" w:cs="Times New Roman"/>
                <w:color w:val="000000"/>
                <w:sz w:val="24"/>
                <w:szCs w:val="24"/>
              </w:rPr>
              <w:t xml:space="preserve"> -  Cash balance in the operating checking account started the year off with $316K, on September 30th checking balance at $397K. High cash balance on Sept 2nd at $479K &amp; low cash balance on July 11th at $200K.  Annual average cash balance is $337K.  On March 21, 2016, we transferred $120K from checking account to Investment-Essex National Securities.</w:t>
            </w:r>
          </w:p>
        </w:tc>
      </w:tr>
      <w:tr w:rsidR="002D423D" w:rsidRPr="00EE1086" w:rsidTr="00801775">
        <w:trPr>
          <w:trHeight w:val="4593"/>
        </w:trPr>
        <w:tc>
          <w:tcPr>
            <w:tcW w:w="270" w:type="dxa"/>
            <w:tcBorders>
              <w:top w:val="nil"/>
              <w:left w:val="nil"/>
              <w:bottom w:val="nil"/>
              <w:right w:val="nil"/>
            </w:tcBorders>
            <w:shd w:val="clear" w:color="auto" w:fill="auto"/>
            <w:hideMark/>
          </w:tcPr>
          <w:p w:rsidR="002D423D" w:rsidRPr="00EE1086" w:rsidRDefault="002D423D" w:rsidP="00EE1086">
            <w:pPr>
              <w:widowControl/>
              <w:rPr>
                <w:rFonts w:ascii="Wingdings" w:eastAsia="Times New Roman" w:hAnsi="Wingdings" w:cs="Times New Roman"/>
                <w:color w:val="000000"/>
                <w:sz w:val="24"/>
                <w:szCs w:val="24"/>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Wingdings" w:eastAsia="Times New Roman" w:hAnsi="Wingdings" w:cs="Times New Roman"/>
                <w:color w:val="000000"/>
                <w:sz w:val="24"/>
                <w:szCs w:val="24"/>
              </w:rPr>
            </w:pPr>
            <w:r w:rsidRPr="00EE1086">
              <w:rPr>
                <w:rFonts w:ascii="Wingdings" w:eastAsia="Times New Roman" w:hAnsi="Wingdings" w:cs="Times New Roman"/>
                <w:noProof/>
                <w:color w:val="000000"/>
                <w:sz w:val="24"/>
                <w:szCs w:val="24"/>
              </w:rPr>
              <w:drawing>
                <wp:anchor distT="0" distB="0" distL="114300" distR="114300" simplePos="0" relativeHeight="251663360" behindDoc="0" locked="0" layoutInCell="1" allowOverlap="1" wp14:anchorId="2B110290" wp14:editId="469C1EDC">
                  <wp:simplePos x="0" y="0"/>
                  <wp:positionH relativeFrom="column">
                    <wp:posOffset>-182245</wp:posOffset>
                  </wp:positionH>
                  <wp:positionV relativeFrom="paragraph">
                    <wp:posOffset>38100</wp:posOffset>
                  </wp:positionV>
                  <wp:extent cx="7200900" cy="2714625"/>
                  <wp:effectExtent l="0" t="0" r="0" b="9525"/>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c>
          <w:tcPr>
            <w:tcW w:w="686"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474"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hideMark/>
          </w:tcPr>
          <w:p w:rsidR="002D423D" w:rsidRPr="00EE1086" w:rsidRDefault="002D423D" w:rsidP="00EE1086">
            <w:pPr>
              <w:widowControl/>
              <w:ind w:right="9"/>
              <w:rPr>
                <w:rFonts w:ascii="Times New Roman" w:eastAsia="Times New Roman" w:hAnsi="Times New Roman" w:cs="Times New Roman"/>
                <w:sz w:val="20"/>
                <w:szCs w:val="20"/>
              </w:rPr>
            </w:pPr>
          </w:p>
        </w:tc>
      </w:tr>
      <w:tr w:rsidR="002D423D" w:rsidRPr="00EE1086" w:rsidTr="002D423D">
        <w:trPr>
          <w:trHeight w:val="1443"/>
        </w:trPr>
        <w:tc>
          <w:tcPr>
            <w:tcW w:w="11790" w:type="dxa"/>
            <w:gridSpan w:val="7"/>
            <w:tcBorders>
              <w:top w:val="nil"/>
              <w:left w:val="nil"/>
              <w:bottom w:val="nil"/>
              <w:right w:val="nil"/>
            </w:tcBorders>
            <w:shd w:val="clear" w:color="auto" w:fill="auto"/>
            <w:vAlign w:val="bottom"/>
            <w:hideMark/>
          </w:tcPr>
          <w:p w:rsidR="002D423D" w:rsidRPr="00EE1086" w:rsidRDefault="002D423D" w:rsidP="00EE1086">
            <w:pPr>
              <w:widowControl/>
              <w:tabs>
                <w:tab w:val="left" w:pos="12042"/>
              </w:tabs>
              <w:ind w:left="432"/>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color w:val="000000"/>
                <w:sz w:val="24"/>
                <w:szCs w:val="24"/>
              </w:rPr>
              <w:t xml:space="preserve"> </w:t>
            </w:r>
            <w:r w:rsidRPr="00EE1086">
              <w:rPr>
                <w:rFonts w:ascii="Calibri" w:eastAsia="Times New Roman" w:hAnsi="Calibri" w:cs="Times New Roman"/>
                <w:b/>
                <w:bCs/>
                <w:color w:val="000000"/>
                <w:sz w:val="24"/>
                <w:szCs w:val="24"/>
              </w:rPr>
              <w:t xml:space="preserve">Grant Receivable - </w:t>
            </w:r>
            <w:r w:rsidRPr="00EE1086">
              <w:rPr>
                <w:rFonts w:ascii="Calibri" w:eastAsia="Times New Roman" w:hAnsi="Calibri" w:cs="Times New Roman"/>
                <w:color w:val="000000"/>
                <w:sz w:val="24"/>
                <w:szCs w:val="24"/>
              </w:rPr>
              <w:t xml:space="preserve">  Grants receivable represents billed and unbilled amounts related to CCCHC's cost reimbursable and fee based government contracts. Amounts recorded are current in nature and represent eligible reimbursements under related contracts. At September 30, 2016, Grant Receivable is $229,123. Expectation is that we will collect on all receivables and no allowance for doubtful amounts has been recorded. Not aware of any issues on collectability.</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Program</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right"/>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September-16</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right"/>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August-16</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right"/>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Older</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right"/>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Total</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Rural Health Network Program</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56,527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56,527 </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Navigator Health Exchange Program</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21,103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25,055 </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46,158 </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Tobacco-Free Program</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28,194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18,445 </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46,639 </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Cancer Services Program</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12,166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13,258 </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25,423 </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Transportation-Medicaid</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12,099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6,035 </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3,256 </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21,391 </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Other Columbia County Programs</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15,208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15,087 </w:t>
            </w: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30,295 </w:t>
            </w:r>
          </w:p>
        </w:tc>
      </w:tr>
      <w:tr w:rsidR="002D423D" w:rsidRPr="00EE1086" w:rsidTr="00801775">
        <w:trPr>
          <w:trHeight w:val="315"/>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Greene County DSS</w:t>
            </w:r>
          </w:p>
        </w:tc>
        <w:tc>
          <w:tcPr>
            <w:tcW w:w="2160" w:type="dxa"/>
            <w:gridSpan w:val="2"/>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2,691 </w:t>
            </w:r>
          </w:p>
        </w:tc>
        <w:tc>
          <w:tcPr>
            <w:tcW w:w="189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2,691 </w:t>
            </w:r>
          </w:p>
        </w:tc>
      </w:tr>
      <w:tr w:rsidR="002D423D" w:rsidRPr="00EE1086" w:rsidTr="00801775">
        <w:trPr>
          <w:trHeight w:val="330"/>
        </w:trPr>
        <w:tc>
          <w:tcPr>
            <w:tcW w:w="270" w:type="dxa"/>
            <w:tcBorders>
              <w:top w:val="nil"/>
              <w:left w:val="nil"/>
              <w:bottom w:val="nil"/>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Total Grant Receivable</w:t>
            </w:r>
          </w:p>
        </w:tc>
        <w:tc>
          <w:tcPr>
            <w:tcW w:w="2160" w:type="dxa"/>
            <w:gridSpan w:val="2"/>
            <w:tcBorders>
              <w:top w:val="single" w:sz="4" w:space="0" w:color="auto"/>
              <w:left w:val="nil"/>
              <w:bottom w:val="double" w:sz="6" w:space="0" w:color="auto"/>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 $           147,987 </w:t>
            </w:r>
          </w:p>
        </w:tc>
        <w:tc>
          <w:tcPr>
            <w:tcW w:w="1890" w:type="dxa"/>
            <w:tcBorders>
              <w:top w:val="single" w:sz="4" w:space="0" w:color="auto"/>
              <w:left w:val="nil"/>
              <w:bottom w:val="double" w:sz="6" w:space="0" w:color="auto"/>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 $             77,880 </w:t>
            </w:r>
          </w:p>
        </w:tc>
        <w:tc>
          <w:tcPr>
            <w:tcW w:w="1980" w:type="dxa"/>
            <w:tcBorders>
              <w:top w:val="single" w:sz="4" w:space="0" w:color="auto"/>
              <w:left w:val="nil"/>
              <w:bottom w:val="double" w:sz="6" w:space="0" w:color="auto"/>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 $                 3,256 </w:t>
            </w:r>
          </w:p>
        </w:tc>
        <w:tc>
          <w:tcPr>
            <w:tcW w:w="1980" w:type="dxa"/>
            <w:tcBorders>
              <w:top w:val="single" w:sz="4" w:space="0" w:color="auto"/>
              <w:left w:val="nil"/>
              <w:bottom w:val="double" w:sz="6" w:space="0" w:color="auto"/>
              <w:right w:val="nil"/>
            </w:tcBorders>
            <w:shd w:val="clear" w:color="auto" w:fill="auto"/>
            <w:vAlign w:val="bottom"/>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 $            229,123 </w:t>
            </w:r>
          </w:p>
        </w:tc>
      </w:tr>
      <w:tr w:rsidR="002D423D" w:rsidRPr="00EE1086" w:rsidTr="00801775">
        <w:trPr>
          <w:trHeight w:val="195"/>
        </w:trPr>
        <w:tc>
          <w:tcPr>
            <w:tcW w:w="270" w:type="dxa"/>
            <w:tcBorders>
              <w:top w:val="nil"/>
              <w:left w:val="nil"/>
              <w:bottom w:val="nil"/>
              <w:right w:val="nil"/>
            </w:tcBorders>
            <w:shd w:val="clear" w:color="auto" w:fill="auto"/>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r w:rsidRPr="00EE1086">
              <w:rPr>
                <w:rFonts w:ascii="Wingdings" w:eastAsia="Times New Roman" w:hAnsi="Wingdings" w:cs="Times New Roman"/>
                <w:noProof/>
                <w:color w:val="000000"/>
                <w:sz w:val="24"/>
                <w:szCs w:val="24"/>
              </w:rPr>
              <w:drawing>
                <wp:anchor distT="0" distB="0" distL="114300" distR="114300" simplePos="0" relativeHeight="251662336" behindDoc="0" locked="0" layoutInCell="1" allowOverlap="1" wp14:anchorId="6EB23FA2" wp14:editId="47402F39">
                  <wp:simplePos x="0" y="0"/>
                  <wp:positionH relativeFrom="column">
                    <wp:posOffset>544195</wp:posOffset>
                  </wp:positionH>
                  <wp:positionV relativeFrom="paragraph">
                    <wp:posOffset>175895</wp:posOffset>
                  </wp:positionV>
                  <wp:extent cx="5934075" cy="2543175"/>
                  <wp:effectExtent l="0" t="0" r="9525"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686"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474"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r>
      <w:tr w:rsidR="002D423D" w:rsidRPr="00EE1086" w:rsidTr="00664E57">
        <w:trPr>
          <w:trHeight w:val="1350"/>
        </w:trPr>
        <w:tc>
          <w:tcPr>
            <w:tcW w:w="270" w:type="dxa"/>
            <w:tcBorders>
              <w:top w:val="nil"/>
              <w:left w:val="nil"/>
              <w:bottom w:val="nil"/>
              <w:right w:val="nil"/>
            </w:tcBorders>
            <w:shd w:val="clear" w:color="auto" w:fill="auto"/>
            <w:hideMark/>
          </w:tcPr>
          <w:p w:rsidR="002D423D" w:rsidRPr="00EE1086" w:rsidRDefault="002D423D" w:rsidP="00EE1086">
            <w:pPr>
              <w:widowControl/>
              <w:rPr>
                <w:rFonts w:ascii="Times New Roman" w:eastAsia="Times New Roman" w:hAnsi="Times New Roman" w:cs="Times New Roman"/>
                <w:sz w:val="20"/>
                <w:szCs w:val="20"/>
              </w:rPr>
            </w:pPr>
          </w:p>
        </w:tc>
        <w:tc>
          <w:tcPr>
            <w:tcW w:w="11520" w:type="dxa"/>
            <w:gridSpan w:val="6"/>
            <w:tcBorders>
              <w:top w:val="nil"/>
              <w:left w:val="nil"/>
              <w:bottom w:val="nil"/>
              <w:right w:val="nil"/>
            </w:tcBorders>
            <w:shd w:val="clear" w:color="auto" w:fill="auto"/>
            <w:hideMark/>
          </w:tcPr>
          <w:p w:rsidR="002D423D" w:rsidRPr="00EE1086" w:rsidRDefault="002D423D" w:rsidP="00EE1086">
            <w:pPr>
              <w:widowControl/>
              <w:rPr>
                <w:rFonts w:ascii="Wingdings" w:eastAsia="Times New Roman" w:hAnsi="Wingdings" w:cs="Times New Roman"/>
                <w:color w:val="000000"/>
                <w:sz w:val="24"/>
                <w:szCs w:val="24"/>
              </w:rPr>
            </w:pPr>
          </w:p>
        </w:tc>
      </w:tr>
      <w:tr w:rsidR="002D423D" w:rsidRPr="00EE1086" w:rsidTr="002D423D">
        <w:trPr>
          <w:trHeight w:val="780"/>
        </w:trPr>
        <w:tc>
          <w:tcPr>
            <w:tcW w:w="11790" w:type="dxa"/>
            <w:gridSpan w:val="7"/>
            <w:tcBorders>
              <w:top w:val="nil"/>
              <w:left w:val="nil"/>
              <w:bottom w:val="single" w:sz="8" w:space="0" w:color="auto"/>
              <w:right w:val="nil"/>
            </w:tcBorders>
            <w:shd w:val="clear" w:color="auto" w:fill="auto"/>
            <w:hideMark/>
          </w:tcPr>
          <w:p w:rsidR="002D423D" w:rsidRPr="00EE1086" w:rsidRDefault="002D423D" w:rsidP="00EE1086">
            <w:pPr>
              <w:widowControl/>
              <w:ind w:left="522" w:right="306"/>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b/>
                <w:bCs/>
                <w:color w:val="000000"/>
                <w:sz w:val="24"/>
                <w:szCs w:val="24"/>
              </w:rPr>
              <w:t xml:space="preserve"> Investment - Infinex Financial Group</w:t>
            </w:r>
            <w:r w:rsidRPr="00EE1086">
              <w:rPr>
                <w:rFonts w:ascii="Calibri" w:eastAsia="Times New Roman" w:hAnsi="Calibri" w:cs="Times New Roman"/>
                <w:color w:val="000000"/>
                <w:sz w:val="24"/>
                <w:szCs w:val="24"/>
              </w:rPr>
              <w:t xml:space="preserve"> - As of September 30, 2016, the value of investments total $151,844 with the orginial investment of $151,036. YTD Investment Income of $367 and Unrealized Gain of $468.</w:t>
            </w:r>
          </w:p>
        </w:tc>
      </w:tr>
      <w:tr w:rsidR="00801775" w:rsidRPr="00EE1086" w:rsidTr="002D423D">
        <w:trPr>
          <w:trHeight w:val="1017"/>
        </w:trPr>
        <w:tc>
          <w:tcPr>
            <w:tcW w:w="11790" w:type="dxa"/>
            <w:gridSpan w:val="7"/>
            <w:tcBorders>
              <w:top w:val="nil"/>
              <w:left w:val="nil"/>
              <w:bottom w:val="nil"/>
              <w:right w:val="nil"/>
            </w:tcBorders>
            <w:shd w:val="clear" w:color="auto" w:fill="auto"/>
            <w:vAlign w:val="center"/>
          </w:tcPr>
          <w:tbl>
            <w:tblPr>
              <w:tblW w:w="10940" w:type="dxa"/>
              <w:tblLayout w:type="fixed"/>
              <w:tblLook w:val="04A0" w:firstRow="1" w:lastRow="0" w:firstColumn="1" w:lastColumn="0" w:noHBand="0" w:noVBand="1"/>
            </w:tblPr>
            <w:tblGrid>
              <w:gridCol w:w="1250"/>
              <w:gridCol w:w="1393"/>
              <w:gridCol w:w="2077"/>
              <w:gridCol w:w="1780"/>
              <w:gridCol w:w="1780"/>
              <w:gridCol w:w="1900"/>
              <w:gridCol w:w="760"/>
            </w:tblGrid>
            <w:tr w:rsidR="00801775" w:rsidRPr="00801775" w:rsidTr="00801775">
              <w:trPr>
                <w:trHeight w:val="615"/>
              </w:trPr>
              <w:tc>
                <w:tcPr>
                  <w:tcW w:w="1250" w:type="dxa"/>
                  <w:tcBorders>
                    <w:top w:val="nil"/>
                    <w:left w:val="single" w:sz="8" w:space="0" w:color="auto"/>
                    <w:bottom w:val="single" w:sz="8" w:space="0" w:color="auto"/>
                    <w:right w:val="single" w:sz="4" w:space="0" w:color="auto"/>
                  </w:tcBorders>
                  <w:shd w:val="clear" w:color="auto" w:fill="auto"/>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b/>
                      <w:bCs/>
                      <w:color w:val="000000"/>
                    </w:rPr>
                  </w:pPr>
                  <w:r w:rsidRPr="00801775">
                    <w:rPr>
                      <w:rFonts w:ascii="Calibri" w:eastAsia="Times New Roman" w:hAnsi="Calibri" w:cs="Times New Roman"/>
                      <w:b/>
                      <w:bCs/>
                      <w:color w:val="000000"/>
                    </w:rPr>
                    <w:t>Security ID</w:t>
                  </w:r>
                </w:p>
              </w:tc>
              <w:tc>
                <w:tcPr>
                  <w:tcW w:w="3470" w:type="dxa"/>
                  <w:gridSpan w:val="2"/>
                  <w:tcBorders>
                    <w:top w:val="nil"/>
                    <w:left w:val="nil"/>
                    <w:bottom w:val="single" w:sz="8" w:space="0" w:color="auto"/>
                    <w:right w:val="single" w:sz="4" w:space="0" w:color="000000"/>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Investment Description</w:t>
                  </w:r>
                </w:p>
              </w:tc>
              <w:tc>
                <w:tcPr>
                  <w:tcW w:w="1780" w:type="dxa"/>
                  <w:tcBorders>
                    <w:top w:val="nil"/>
                    <w:left w:val="nil"/>
                    <w:bottom w:val="single" w:sz="8" w:space="0" w:color="auto"/>
                    <w:right w:val="single" w:sz="4" w:space="0" w:color="auto"/>
                  </w:tcBorders>
                  <w:shd w:val="clear" w:color="auto" w:fill="auto"/>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Number of shares Purchased</w:t>
                  </w:r>
                </w:p>
              </w:tc>
              <w:tc>
                <w:tcPr>
                  <w:tcW w:w="1780" w:type="dxa"/>
                  <w:tcBorders>
                    <w:top w:val="nil"/>
                    <w:left w:val="nil"/>
                    <w:bottom w:val="single" w:sz="8" w:space="0" w:color="auto"/>
                    <w:right w:val="single" w:sz="4" w:space="0" w:color="auto"/>
                  </w:tcBorders>
                  <w:shd w:val="clear" w:color="auto" w:fill="auto"/>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Market Value</w:t>
                  </w:r>
                </w:p>
              </w:tc>
              <w:tc>
                <w:tcPr>
                  <w:tcW w:w="1900" w:type="dxa"/>
                  <w:tcBorders>
                    <w:top w:val="nil"/>
                    <w:left w:val="nil"/>
                    <w:bottom w:val="single" w:sz="8" w:space="0" w:color="auto"/>
                    <w:right w:val="nil"/>
                  </w:tcBorders>
                  <w:shd w:val="clear" w:color="auto" w:fill="auto"/>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Cost vs. Market Basis per Share</w:t>
                  </w:r>
                </w:p>
              </w:tc>
              <w:tc>
                <w:tcPr>
                  <w:tcW w:w="760" w:type="dxa"/>
                  <w:tcBorders>
                    <w:top w:val="nil"/>
                    <w:left w:val="single" w:sz="4" w:space="0" w:color="auto"/>
                    <w:bottom w:val="single" w:sz="8" w:space="0" w:color="auto"/>
                    <w:right w:val="single" w:sz="8" w:space="0" w:color="auto"/>
                  </w:tcBorders>
                  <w:shd w:val="clear" w:color="auto" w:fill="auto"/>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TEGBX</w:t>
                  </w:r>
                </w:p>
              </w:tc>
              <w:tc>
                <w:tcPr>
                  <w:tcW w:w="347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Templeton Global Bond Fund Class C</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1,430</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$15,982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$11.33 vs, $11.18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FF0000"/>
                    </w:rPr>
                  </w:pPr>
                  <w:r w:rsidRPr="00801775">
                    <w:rPr>
                      <w:rFonts w:ascii="Calibri" w:eastAsia="Times New Roman" w:hAnsi="Calibri" w:cs="Times New Roman"/>
                      <w:color w:val="FF0000"/>
                    </w:rPr>
                    <w:t>-1.3%</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FSGCX</w:t>
                  </w:r>
                </w:p>
              </w:tc>
              <w:tc>
                <w:tcPr>
                  <w:tcW w:w="3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 xml:space="preserve">Franklin Templeton Strategic Income Fund </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1,700</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$16,351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$ 9.54 vs. $ 9.62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0.8%</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FCSCX</w:t>
                  </w:r>
                </w:p>
              </w:tc>
              <w:tc>
                <w:tcPr>
                  <w:tcW w:w="3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Franklin Adjustable US Govt Securities Fund</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1,925</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$16,170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$ 8.40 vs. $8.40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0.0%</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FRGSX</w:t>
                  </w:r>
                </w:p>
              </w:tc>
              <w:tc>
                <w:tcPr>
                  <w:tcW w:w="3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Franklin Growth Fund Class C</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228</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$16,574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$70.81 vs. $72.60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2.5%</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FRUGX</w:t>
                  </w:r>
                </w:p>
              </w:tc>
              <w:tc>
                <w:tcPr>
                  <w:tcW w:w="3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Franklin US Government Securities</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2,565</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$16,161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$ 6.32 vs. $ 6.30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FF0000"/>
                    </w:rPr>
                  </w:pPr>
                  <w:r w:rsidRPr="00801775">
                    <w:rPr>
                      <w:rFonts w:ascii="Calibri" w:eastAsia="Times New Roman" w:hAnsi="Calibri" w:cs="Times New Roman"/>
                      <w:color w:val="FF0000"/>
                    </w:rPr>
                    <w:t>-0.3%</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FCISX</w:t>
                  </w:r>
                </w:p>
              </w:tc>
              <w:tc>
                <w:tcPr>
                  <w:tcW w:w="3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Franklin Income Fund Class C</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7,260</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$16,480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$ 2.24 vs. $ 2.27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1.3%</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b/>
                      <w:bCs/>
                      <w:color w:val="000000"/>
                    </w:rPr>
                  </w:pPr>
                  <w:r w:rsidRPr="00801775">
                    <w:rPr>
                      <w:rFonts w:ascii="Calibri" w:eastAsia="Times New Roman" w:hAnsi="Calibri" w:cs="Times New Roman"/>
                      <w:b/>
                      <w:bCs/>
                      <w:color w:val="000000"/>
                    </w:rPr>
                    <w:t> </w:t>
                  </w:r>
                </w:p>
              </w:tc>
              <w:tc>
                <w:tcPr>
                  <w:tcW w:w="3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Frederick County Bancorp CD-Mat. 11/23/16</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$37,999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r>
            <w:tr w:rsidR="00801775" w:rsidRPr="00801775" w:rsidTr="00801775">
              <w:trPr>
                <w:trHeight w:val="30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rPr>
                  </w:pPr>
                  <w:r w:rsidRPr="00801775">
                    <w:rPr>
                      <w:rFonts w:ascii="Calibri" w:eastAsia="Times New Roman" w:hAnsi="Calibri" w:cs="Times New Roman"/>
                      <w:color w:val="000000"/>
                    </w:rPr>
                    <w:t> </w:t>
                  </w:r>
                </w:p>
              </w:tc>
              <w:tc>
                <w:tcPr>
                  <w:tcW w:w="1393"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 </w:t>
                  </w:r>
                </w:p>
              </w:tc>
              <w:tc>
                <w:tcPr>
                  <w:tcW w:w="2077"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sz w:val="18"/>
                      <w:szCs w:val="18"/>
                    </w:rPr>
                  </w:pPr>
                  <w:r w:rsidRPr="00801775">
                    <w:rPr>
                      <w:rFonts w:ascii="Calibri" w:eastAsia="Times New Roman" w:hAnsi="Calibri" w:cs="Times New Roman"/>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rPr>
                  </w:pPr>
                  <w:r w:rsidRPr="00801775">
                    <w:rPr>
                      <w:rFonts w:ascii="Calibri" w:eastAsia="Times New Roman" w:hAnsi="Calibri" w:cs="Times New Roman"/>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r>
            <w:tr w:rsidR="00801775" w:rsidRPr="00801775" w:rsidTr="00801775">
              <w:trPr>
                <w:trHeight w:val="315"/>
              </w:trPr>
              <w:tc>
                <w:tcPr>
                  <w:tcW w:w="1250" w:type="dxa"/>
                  <w:tcBorders>
                    <w:top w:val="nil"/>
                    <w:left w:val="single" w:sz="8" w:space="0" w:color="auto"/>
                    <w:bottom w:val="single" w:sz="8"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rPr>
                  </w:pPr>
                  <w:r w:rsidRPr="00801775">
                    <w:rPr>
                      <w:rFonts w:ascii="Calibri" w:eastAsia="Times New Roman" w:hAnsi="Calibri" w:cs="Times New Roman"/>
                      <w:color w:val="000000"/>
                    </w:rPr>
                    <w:t> </w:t>
                  </w:r>
                </w:p>
              </w:tc>
              <w:tc>
                <w:tcPr>
                  <w:tcW w:w="1393" w:type="dxa"/>
                  <w:tcBorders>
                    <w:top w:val="nil"/>
                    <w:left w:val="nil"/>
                    <w:bottom w:val="single" w:sz="8"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Cash</w:t>
                  </w:r>
                </w:p>
              </w:tc>
              <w:tc>
                <w:tcPr>
                  <w:tcW w:w="2077" w:type="dxa"/>
                  <w:tcBorders>
                    <w:top w:val="nil"/>
                    <w:left w:val="nil"/>
                    <w:bottom w:val="single" w:sz="8"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c>
                <w:tcPr>
                  <w:tcW w:w="1780" w:type="dxa"/>
                  <w:tcBorders>
                    <w:top w:val="nil"/>
                    <w:left w:val="nil"/>
                    <w:bottom w:val="single" w:sz="8"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rPr>
                  </w:pPr>
                  <w:r w:rsidRPr="00801775">
                    <w:rPr>
                      <w:rFonts w:ascii="Calibri" w:eastAsia="Times New Roman" w:hAnsi="Calibri" w:cs="Times New Roman"/>
                      <w:color w:val="000000"/>
                    </w:rPr>
                    <w:t> </w:t>
                  </w:r>
                </w:p>
              </w:tc>
              <w:tc>
                <w:tcPr>
                  <w:tcW w:w="1780" w:type="dxa"/>
                  <w:tcBorders>
                    <w:top w:val="nil"/>
                    <w:left w:val="nil"/>
                    <w:bottom w:val="single" w:sz="8"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$16,126 </w:t>
                  </w:r>
                </w:p>
              </w:tc>
              <w:tc>
                <w:tcPr>
                  <w:tcW w:w="1900" w:type="dxa"/>
                  <w:tcBorders>
                    <w:top w:val="nil"/>
                    <w:left w:val="nil"/>
                    <w:bottom w:val="single" w:sz="8"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rPr>
                  </w:pPr>
                  <w:r w:rsidRPr="00801775">
                    <w:rPr>
                      <w:rFonts w:ascii="Calibri" w:eastAsia="Times New Roman" w:hAnsi="Calibri" w:cs="Times New Roman"/>
                      <w:color w:val="000000"/>
                    </w:rPr>
                    <w:t> </w:t>
                  </w:r>
                </w:p>
              </w:tc>
              <w:tc>
                <w:tcPr>
                  <w:tcW w:w="760" w:type="dxa"/>
                  <w:tcBorders>
                    <w:top w:val="nil"/>
                    <w:left w:val="single" w:sz="4" w:space="0" w:color="auto"/>
                    <w:bottom w:val="single" w:sz="8" w:space="0" w:color="auto"/>
                    <w:right w:val="single" w:sz="8"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w:t>
                  </w:r>
                </w:p>
              </w:tc>
            </w:tr>
            <w:tr w:rsidR="00801775" w:rsidRPr="00801775" w:rsidTr="00801775">
              <w:trPr>
                <w:trHeight w:val="105"/>
              </w:trPr>
              <w:tc>
                <w:tcPr>
                  <w:tcW w:w="125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p>
              </w:tc>
              <w:tc>
                <w:tcPr>
                  <w:tcW w:w="1393"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2077"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r>
            <w:tr w:rsidR="00801775" w:rsidRPr="00801775" w:rsidTr="00801775">
              <w:trPr>
                <w:trHeight w:val="315"/>
              </w:trPr>
              <w:tc>
                <w:tcPr>
                  <w:tcW w:w="125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1393"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2077"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right"/>
                    <w:rPr>
                      <w:rFonts w:ascii="Calibri" w:eastAsia="Times New Roman" w:hAnsi="Calibri" w:cs="Times New Roman"/>
                      <w:color w:val="000000"/>
                    </w:rPr>
                  </w:pPr>
                  <w:r w:rsidRPr="00801775">
                    <w:rPr>
                      <w:rFonts w:ascii="Calibri" w:eastAsia="Times New Roman" w:hAnsi="Calibri" w:cs="Times New Roman"/>
                      <w:color w:val="000000"/>
                    </w:rPr>
                    <w:t>Totals</w:t>
                  </w:r>
                </w:p>
              </w:tc>
              <w:tc>
                <w:tcPr>
                  <w:tcW w:w="178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right"/>
                    <w:rPr>
                      <w:rFonts w:ascii="Calibri" w:eastAsia="Times New Roman" w:hAnsi="Calibri" w:cs="Times New Roman"/>
                      <w:color w:val="000000"/>
                    </w:rPr>
                  </w:pPr>
                </w:p>
              </w:tc>
              <w:tc>
                <w:tcPr>
                  <w:tcW w:w="1780" w:type="dxa"/>
                  <w:tcBorders>
                    <w:top w:val="single" w:sz="4" w:space="0" w:color="auto"/>
                    <w:left w:val="nil"/>
                    <w:bottom w:val="double" w:sz="6" w:space="0" w:color="auto"/>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$151,844 </w:t>
                  </w:r>
                </w:p>
              </w:tc>
              <w:tc>
                <w:tcPr>
                  <w:tcW w:w="190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r>
          </w:tbl>
          <w:p w:rsidR="00801775" w:rsidRPr="00EE1086" w:rsidRDefault="00801775" w:rsidP="00EE1086">
            <w:pPr>
              <w:widowControl/>
              <w:jc w:val="center"/>
              <w:rPr>
                <w:rFonts w:ascii="Wingdings" w:eastAsia="Times New Roman" w:hAnsi="Wingdings" w:cs="Times New Roman"/>
                <w:color w:val="000000"/>
                <w:sz w:val="24"/>
                <w:szCs w:val="24"/>
              </w:rPr>
            </w:pPr>
          </w:p>
        </w:tc>
      </w:tr>
      <w:tr w:rsidR="002D423D" w:rsidRPr="00EE1086" w:rsidTr="00801775">
        <w:trPr>
          <w:trHeight w:val="882"/>
        </w:trPr>
        <w:tc>
          <w:tcPr>
            <w:tcW w:w="11790" w:type="dxa"/>
            <w:gridSpan w:val="7"/>
            <w:tcBorders>
              <w:top w:val="nil"/>
              <w:left w:val="nil"/>
              <w:bottom w:val="nil"/>
              <w:right w:val="nil"/>
            </w:tcBorders>
            <w:shd w:val="clear" w:color="auto" w:fill="auto"/>
            <w:vAlign w:val="center"/>
            <w:hideMark/>
          </w:tcPr>
          <w:p w:rsidR="002D423D" w:rsidRPr="00EE1086" w:rsidRDefault="002D423D" w:rsidP="00EE1086">
            <w:pPr>
              <w:widowControl/>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b/>
                <w:bCs/>
                <w:color w:val="000000"/>
                <w:sz w:val="24"/>
                <w:szCs w:val="24"/>
              </w:rPr>
              <w:t xml:space="preserve"> Prepaid Expenses</w:t>
            </w:r>
            <w:r w:rsidRPr="00EE1086">
              <w:rPr>
                <w:rFonts w:ascii="Calibri" w:eastAsia="Times New Roman" w:hAnsi="Calibri" w:cs="Times New Roman"/>
                <w:color w:val="000000"/>
                <w:sz w:val="24"/>
                <w:szCs w:val="24"/>
              </w:rPr>
              <w:t xml:space="preserve"> - At September 30, 2016, total prepaid expenses totaled $7,438 which consisted of General Insurance, Disability Insurance, Offsite Back-up Storage, Gift Cards, Deposits, Postage.</w:t>
            </w:r>
          </w:p>
        </w:tc>
      </w:tr>
      <w:tr w:rsidR="002D423D" w:rsidRPr="00EE1086" w:rsidTr="00801775">
        <w:trPr>
          <w:trHeight w:val="648"/>
        </w:trPr>
        <w:tc>
          <w:tcPr>
            <w:tcW w:w="11790" w:type="dxa"/>
            <w:gridSpan w:val="7"/>
            <w:tcBorders>
              <w:top w:val="nil"/>
              <w:left w:val="nil"/>
              <w:bottom w:val="nil"/>
              <w:right w:val="nil"/>
            </w:tcBorders>
            <w:shd w:val="clear" w:color="auto" w:fill="auto"/>
            <w:vAlign w:val="bottom"/>
            <w:hideMark/>
          </w:tcPr>
          <w:p w:rsidR="002D423D" w:rsidRPr="00EE1086" w:rsidRDefault="002D423D" w:rsidP="00EE1086">
            <w:pPr>
              <w:widowControl/>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b/>
                <w:bCs/>
                <w:color w:val="000000"/>
                <w:sz w:val="24"/>
                <w:szCs w:val="24"/>
              </w:rPr>
              <w:t xml:space="preserve"> Equipment, Furniture &amp; Vehicles</w:t>
            </w:r>
            <w:r w:rsidRPr="00EE1086">
              <w:rPr>
                <w:rFonts w:ascii="Calibri" w:eastAsia="Times New Roman" w:hAnsi="Calibri" w:cs="Times New Roman"/>
                <w:color w:val="000000"/>
                <w:sz w:val="24"/>
                <w:szCs w:val="24"/>
              </w:rPr>
              <w:t xml:space="preserve"> -Agency purchased the following capital equipment. Also, Jim Funk, Transportation Coordinator, looking to purchase a new vehicle.</w:t>
            </w:r>
          </w:p>
        </w:tc>
      </w:tr>
      <w:tr w:rsidR="00801775" w:rsidRPr="00EE1086" w:rsidTr="002D423D">
        <w:trPr>
          <w:trHeight w:val="1035"/>
        </w:trPr>
        <w:tc>
          <w:tcPr>
            <w:tcW w:w="11790" w:type="dxa"/>
            <w:gridSpan w:val="7"/>
            <w:tcBorders>
              <w:top w:val="nil"/>
              <w:left w:val="nil"/>
              <w:bottom w:val="nil"/>
              <w:right w:val="nil"/>
            </w:tcBorders>
            <w:shd w:val="clear" w:color="auto" w:fill="auto"/>
          </w:tcPr>
          <w:tbl>
            <w:tblPr>
              <w:tblW w:w="11425" w:type="dxa"/>
              <w:tblLayout w:type="fixed"/>
              <w:tblLook w:val="04A0" w:firstRow="1" w:lastRow="0" w:firstColumn="1" w:lastColumn="0" w:noHBand="0" w:noVBand="1"/>
            </w:tblPr>
            <w:tblGrid>
              <w:gridCol w:w="1780"/>
              <w:gridCol w:w="1905"/>
              <w:gridCol w:w="2700"/>
              <w:gridCol w:w="915"/>
              <w:gridCol w:w="1900"/>
              <w:gridCol w:w="2225"/>
            </w:tblGrid>
            <w:tr w:rsidR="00801775" w:rsidRPr="00801775" w:rsidTr="0080177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Month in Service</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Funding Source</w:t>
                  </w:r>
                </w:p>
              </w:tc>
              <w:tc>
                <w:tcPr>
                  <w:tcW w:w="2700" w:type="dxa"/>
                  <w:tcBorders>
                    <w:top w:val="single" w:sz="4" w:space="0" w:color="auto"/>
                    <w:left w:val="nil"/>
                    <w:bottom w:val="single" w:sz="4" w:space="0" w:color="auto"/>
                    <w:right w:val="single" w:sz="4" w:space="0" w:color="auto"/>
                  </w:tcBorders>
                  <w:shd w:val="clear" w:color="auto" w:fill="auto"/>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Supplier</w:t>
                  </w:r>
                </w:p>
              </w:tc>
              <w:tc>
                <w:tcPr>
                  <w:tcW w:w="2815" w:type="dxa"/>
                  <w:gridSpan w:val="2"/>
                  <w:tcBorders>
                    <w:top w:val="single" w:sz="4" w:space="0" w:color="auto"/>
                    <w:left w:val="nil"/>
                    <w:bottom w:val="single" w:sz="4" w:space="0" w:color="auto"/>
                    <w:right w:val="single" w:sz="4" w:space="0" w:color="auto"/>
                  </w:tcBorders>
                  <w:shd w:val="clear" w:color="auto" w:fill="auto"/>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Description</w:t>
                  </w:r>
                </w:p>
              </w:tc>
              <w:tc>
                <w:tcPr>
                  <w:tcW w:w="2225" w:type="dxa"/>
                  <w:tcBorders>
                    <w:top w:val="single" w:sz="4" w:space="0" w:color="auto"/>
                    <w:left w:val="nil"/>
                    <w:bottom w:val="single" w:sz="4" w:space="0" w:color="auto"/>
                    <w:right w:val="single" w:sz="4" w:space="0" w:color="auto"/>
                  </w:tcBorders>
                  <w:shd w:val="clear" w:color="auto" w:fill="auto"/>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b/>
                      <w:bCs/>
                      <w:color w:val="000000"/>
                    </w:rPr>
                  </w:pPr>
                  <w:r w:rsidRPr="00801775">
                    <w:rPr>
                      <w:rFonts w:ascii="Calibri" w:eastAsia="Times New Roman" w:hAnsi="Calibri" w:cs="Times New Roman"/>
                      <w:b/>
                      <w:bCs/>
                      <w:color w:val="000000"/>
                    </w:rPr>
                    <w:t>Cost</w:t>
                  </w:r>
                </w:p>
              </w:tc>
            </w:tr>
            <w:tr w:rsidR="00801775" w:rsidRPr="00801775" w:rsidTr="00801775">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Apr-16</w:t>
                  </w:r>
                </w:p>
              </w:tc>
              <w:tc>
                <w:tcPr>
                  <w:tcW w:w="1905" w:type="dxa"/>
                  <w:tcBorders>
                    <w:top w:val="nil"/>
                    <w:left w:val="nil"/>
                    <w:bottom w:val="single" w:sz="4" w:space="0" w:color="auto"/>
                    <w:right w:val="single" w:sz="4" w:space="0" w:color="auto"/>
                  </w:tcBorders>
                  <w:shd w:val="clear" w:color="auto" w:fill="auto"/>
                  <w:noWrap/>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OFA: NY Connects</w:t>
                  </w:r>
                </w:p>
              </w:tc>
              <w:tc>
                <w:tcPr>
                  <w:tcW w:w="2700"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Intelligent Tech Solutions </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Dell Optiplex 9030 Computer</w:t>
                  </w:r>
                </w:p>
              </w:tc>
              <w:tc>
                <w:tcPr>
                  <w:tcW w:w="2225"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$1,343 </w:t>
                  </w:r>
                </w:p>
              </w:tc>
            </w:tr>
            <w:tr w:rsidR="00801775" w:rsidRPr="00801775" w:rsidTr="00801775">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Apr-16</w:t>
                  </w:r>
                </w:p>
              </w:tc>
              <w:tc>
                <w:tcPr>
                  <w:tcW w:w="1905" w:type="dxa"/>
                  <w:tcBorders>
                    <w:top w:val="nil"/>
                    <w:left w:val="nil"/>
                    <w:bottom w:val="single" w:sz="4" w:space="0" w:color="auto"/>
                    <w:right w:val="single" w:sz="4" w:space="0" w:color="auto"/>
                  </w:tcBorders>
                  <w:shd w:val="clear" w:color="auto" w:fill="auto"/>
                  <w:noWrap/>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OFA: NYC - EEP</w:t>
                  </w:r>
                </w:p>
              </w:tc>
              <w:tc>
                <w:tcPr>
                  <w:tcW w:w="2700"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Intelligent Tech Solutions </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Dell Optiplex 9030 Computer</w:t>
                  </w:r>
                </w:p>
              </w:tc>
              <w:tc>
                <w:tcPr>
                  <w:tcW w:w="2225"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1,210 </w:t>
                  </w:r>
                </w:p>
              </w:tc>
            </w:tr>
            <w:tr w:rsidR="00801775" w:rsidRPr="00801775" w:rsidTr="00801775">
              <w:trPr>
                <w:trHeight w:val="9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Jul-16</w:t>
                  </w:r>
                </w:p>
              </w:tc>
              <w:tc>
                <w:tcPr>
                  <w:tcW w:w="1905" w:type="dxa"/>
                  <w:tcBorders>
                    <w:top w:val="nil"/>
                    <w:left w:val="nil"/>
                    <w:bottom w:val="single" w:sz="4" w:space="0" w:color="auto"/>
                    <w:right w:val="single" w:sz="4" w:space="0" w:color="auto"/>
                  </w:tcBorders>
                  <w:shd w:val="clear" w:color="auto" w:fill="auto"/>
                  <w:noWrap/>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OFA: NYC - EEP</w:t>
                  </w:r>
                </w:p>
              </w:tc>
              <w:tc>
                <w:tcPr>
                  <w:tcW w:w="2700"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Standard Commercial Interiors </w:t>
                  </w:r>
                </w:p>
              </w:tc>
              <w:tc>
                <w:tcPr>
                  <w:tcW w:w="2815" w:type="dxa"/>
                  <w:gridSpan w:val="2"/>
                  <w:tcBorders>
                    <w:top w:val="single" w:sz="4" w:space="0" w:color="auto"/>
                    <w:left w:val="nil"/>
                    <w:bottom w:val="single" w:sz="4" w:space="0" w:color="auto"/>
                    <w:right w:val="single" w:sz="4" w:space="0" w:color="000000"/>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Workstation/Desk</w:t>
                  </w:r>
                </w:p>
              </w:tc>
              <w:tc>
                <w:tcPr>
                  <w:tcW w:w="2225"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1,319 </w:t>
                  </w:r>
                </w:p>
              </w:tc>
            </w:tr>
            <w:tr w:rsidR="00801775" w:rsidRPr="00801775" w:rsidTr="00801775">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Aug-16</w:t>
                  </w:r>
                </w:p>
              </w:tc>
              <w:tc>
                <w:tcPr>
                  <w:tcW w:w="1905" w:type="dxa"/>
                  <w:tcBorders>
                    <w:top w:val="nil"/>
                    <w:left w:val="nil"/>
                    <w:bottom w:val="single" w:sz="4" w:space="0" w:color="auto"/>
                    <w:right w:val="single" w:sz="4" w:space="0" w:color="auto"/>
                  </w:tcBorders>
                  <w:shd w:val="clear" w:color="auto" w:fill="auto"/>
                  <w:noWrap/>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Navigator Program</w:t>
                  </w:r>
                </w:p>
              </w:tc>
              <w:tc>
                <w:tcPr>
                  <w:tcW w:w="2700"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Intelligent Tech Solutions </w:t>
                  </w:r>
                </w:p>
              </w:tc>
              <w:tc>
                <w:tcPr>
                  <w:tcW w:w="2815" w:type="dxa"/>
                  <w:gridSpan w:val="2"/>
                  <w:tcBorders>
                    <w:top w:val="single" w:sz="4" w:space="0" w:color="auto"/>
                    <w:left w:val="nil"/>
                    <w:bottom w:val="single" w:sz="4" w:space="0" w:color="auto"/>
                    <w:right w:val="single" w:sz="4" w:space="0" w:color="000000"/>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Dell 5000 Series Laptop</w:t>
                  </w:r>
                </w:p>
              </w:tc>
              <w:tc>
                <w:tcPr>
                  <w:tcW w:w="2225"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1,866 </w:t>
                  </w:r>
                </w:p>
              </w:tc>
            </w:tr>
            <w:tr w:rsidR="00801775" w:rsidRPr="00801775" w:rsidTr="00801775">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Aug-16</w:t>
                  </w:r>
                </w:p>
              </w:tc>
              <w:tc>
                <w:tcPr>
                  <w:tcW w:w="1905"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Cancer Services Program</w:t>
                  </w:r>
                </w:p>
              </w:tc>
              <w:tc>
                <w:tcPr>
                  <w:tcW w:w="2700"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Intelligent Tech Solutions </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Dell Optiplex 24 Computer</w:t>
                  </w:r>
                </w:p>
              </w:tc>
              <w:tc>
                <w:tcPr>
                  <w:tcW w:w="2225" w:type="dxa"/>
                  <w:tcBorders>
                    <w:top w:val="nil"/>
                    <w:left w:val="nil"/>
                    <w:bottom w:val="single" w:sz="4" w:space="0" w:color="auto"/>
                    <w:right w:val="single" w:sz="4" w:space="0" w:color="auto"/>
                  </w:tcBorders>
                  <w:shd w:val="clear" w:color="auto" w:fill="auto"/>
                  <w:vAlign w:val="center"/>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r w:rsidRPr="00801775">
                    <w:rPr>
                      <w:rFonts w:ascii="Calibri" w:eastAsia="Times New Roman" w:hAnsi="Calibri" w:cs="Times New Roman"/>
                      <w:color w:val="000000"/>
                    </w:rPr>
                    <w:t xml:space="preserve">   1,388 </w:t>
                  </w:r>
                </w:p>
              </w:tc>
            </w:tr>
            <w:tr w:rsidR="00801775" w:rsidRPr="00801775" w:rsidTr="00801775">
              <w:trPr>
                <w:trHeight w:val="300"/>
              </w:trPr>
              <w:tc>
                <w:tcPr>
                  <w:tcW w:w="1780" w:type="dxa"/>
                  <w:tcBorders>
                    <w:top w:val="nil"/>
                    <w:left w:val="nil"/>
                    <w:bottom w:val="nil"/>
                    <w:right w:val="nil"/>
                  </w:tcBorders>
                  <w:shd w:val="clear" w:color="auto" w:fill="auto"/>
                  <w:hideMark/>
                </w:tcPr>
                <w:p w:rsidR="00801775" w:rsidRPr="00801775" w:rsidRDefault="00801775" w:rsidP="00801775">
                  <w:pPr>
                    <w:framePr w:hSpace="180" w:wrap="around" w:vAnchor="text" w:hAnchor="margin" w:xAlign="center" w:y="-1153"/>
                    <w:widowControl/>
                    <w:jc w:val="center"/>
                    <w:rPr>
                      <w:rFonts w:ascii="Calibri" w:eastAsia="Times New Roman" w:hAnsi="Calibri" w:cs="Times New Roman"/>
                      <w:color w:val="000000"/>
                    </w:rPr>
                  </w:pPr>
                </w:p>
              </w:tc>
              <w:tc>
                <w:tcPr>
                  <w:tcW w:w="1905" w:type="dxa"/>
                  <w:tcBorders>
                    <w:top w:val="nil"/>
                    <w:left w:val="nil"/>
                    <w:bottom w:val="nil"/>
                    <w:right w:val="nil"/>
                  </w:tcBorders>
                  <w:shd w:val="clear" w:color="auto" w:fill="auto"/>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hideMark/>
                </w:tcPr>
                <w:p w:rsidR="00801775" w:rsidRPr="00801775" w:rsidRDefault="00801775" w:rsidP="00801775">
                  <w:pPr>
                    <w:framePr w:hSpace="180" w:wrap="around" w:vAnchor="text" w:hAnchor="margin" w:xAlign="center" w:y="-1153"/>
                    <w:widowControl/>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hideMark/>
                </w:tcPr>
                <w:p w:rsidR="00801775" w:rsidRPr="00801775" w:rsidRDefault="00801775" w:rsidP="00801775">
                  <w:pPr>
                    <w:framePr w:hSpace="180" w:wrap="around" w:vAnchor="text" w:hAnchor="margin" w:xAlign="center" w:y="-1153"/>
                    <w:widowControl/>
                    <w:jc w:val="right"/>
                    <w:rPr>
                      <w:rFonts w:ascii="Calibri" w:eastAsia="Times New Roman" w:hAnsi="Calibri" w:cs="Times New Roman"/>
                      <w:color w:val="000000"/>
                    </w:rPr>
                  </w:pPr>
                  <w:r w:rsidRPr="00801775">
                    <w:rPr>
                      <w:rFonts w:ascii="Calibri" w:eastAsia="Times New Roman" w:hAnsi="Calibri" w:cs="Times New Roman"/>
                      <w:color w:val="000000"/>
                    </w:rPr>
                    <w:t>Total</w:t>
                  </w:r>
                </w:p>
              </w:tc>
              <w:tc>
                <w:tcPr>
                  <w:tcW w:w="2225" w:type="dxa"/>
                  <w:tcBorders>
                    <w:top w:val="nil"/>
                    <w:left w:val="single" w:sz="4" w:space="0" w:color="auto"/>
                    <w:bottom w:val="single" w:sz="4" w:space="0" w:color="auto"/>
                    <w:right w:val="single" w:sz="4" w:space="0" w:color="auto"/>
                  </w:tcBorders>
                  <w:shd w:val="clear" w:color="auto" w:fill="auto"/>
                  <w:hideMark/>
                </w:tcPr>
                <w:p w:rsidR="00801775" w:rsidRPr="00801775" w:rsidRDefault="00801775" w:rsidP="00801775">
                  <w:pPr>
                    <w:framePr w:hSpace="180" w:wrap="around" w:vAnchor="text" w:hAnchor="margin" w:xAlign="center" w:y="-1153"/>
                    <w:widowControl/>
                    <w:rPr>
                      <w:rFonts w:ascii="Calibri" w:eastAsia="Times New Roman" w:hAnsi="Calibri" w:cs="Times New Roman"/>
                      <w:color w:val="000000"/>
                    </w:rPr>
                  </w:pPr>
                  <w:r w:rsidRPr="00801775">
                    <w:rPr>
                      <w:rFonts w:ascii="Calibri" w:eastAsia="Times New Roman" w:hAnsi="Calibri" w:cs="Times New Roman"/>
                      <w:color w:val="000000"/>
                    </w:rPr>
                    <w:t xml:space="preserve"> $7,126 </w:t>
                  </w:r>
                </w:p>
              </w:tc>
            </w:tr>
          </w:tbl>
          <w:p w:rsidR="00801775" w:rsidRPr="00EE1086" w:rsidRDefault="00801775" w:rsidP="00EE1086">
            <w:pPr>
              <w:widowControl/>
              <w:jc w:val="center"/>
              <w:rPr>
                <w:rFonts w:ascii="Wingdings" w:eastAsia="Times New Roman" w:hAnsi="Wingdings" w:cs="Times New Roman"/>
                <w:color w:val="000000"/>
                <w:sz w:val="24"/>
                <w:szCs w:val="24"/>
              </w:rPr>
            </w:pPr>
          </w:p>
        </w:tc>
      </w:tr>
      <w:tr w:rsidR="002D423D" w:rsidRPr="00EE1086" w:rsidTr="00664E57">
        <w:trPr>
          <w:trHeight w:val="864"/>
        </w:trPr>
        <w:tc>
          <w:tcPr>
            <w:tcW w:w="11790" w:type="dxa"/>
            <w:gridSpan w:val="7"/>
            <w:tcBorders>
              <w:top w:val="nil"/>
              <w:left w:val="nil"/>
              <w:bottom w:val="nil"/>
              <w:right w:val="nil"/>
            </w:tcBorders>
            <w:shd w:val="clear" w:color="auto" w:fill="auto"/>
            <w:hideMark/>
          </w:tcPr>
          <w:p w:rsidR="002D423D" w:rsidRPr="00EE1086" w:rsidRDefault="002D423D" w:rsidP="00EE1086">
            <w:pPr>
              <w:widowControl/>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lastRenderedPageBreak/>
              <w:t></w:t>
            </w:r>
            <w:r w:rsidRPr="00EE1086">
              <w:rPr>
                <w:rFonts w:ascii="Times New Roman" w:eastAsia="Times New Roman" w:hAnsi="Times New Roman" w:cs="Times New Roman"/>
                <w:b/>
                <w:bCs/>
                <w:color w:val="000000"/>
                <w:sz w:val="24"/>
                <w:szCs w:val="24"/>
              </w:rPr>
              <w:t xml:space="preserve">Accounts Payable - </w:t>
            </w:r>
            <w:r w:rsidRPr="00EE1086">
              <w:rPr>
                <w:rFonts w:ascii="Calibri" w:eastAsia="Times New Roman" w:hAnsi="Calibri" w:cs="Times New Roman"/>
                <w:color w:val="000000"/>
                <w:sz w:val="24"/>
                <w:szCs w:val="24"/>
              </w:rPr>
              <w:t xml:space="preserve">At September 30, 2016, accounts payable lability is $30,330 and all AP liability is being paid timely within 28 days except for CSP Clinical Services which gets paid once NYS pays CCCHC. The following is a list of vendors </w:t>
            </w:r>
            <w:r w:rsidR="00664E57" w:rsidRPr="00EE1086">
              <w:rPr>
                <w:rFonts w:ascii="Calibri" w:eastAsia="Times New Roman" w:hAnsi="Calibri" w:cs="Times New Roman"/>
                <w:color w:val="000000"/>
                <w:sz w:val="24"/>
                <w:szCs w:val="24"/>
              </w:rPr>
              <w:t>whose</w:t>
            </w:r>
            <w:r w:rsidRPr="00EE1086">
              <w:rPr>
                <w:rFonts w:ascii="Calibri" w:eastAsia="Times New Roman" w:hAnsi="Calibri" w:cs="Times New Roman"/>
                <w:color w:val="000000"/>
                <w:sz w:val="24"/>
                <w:szCs w:val="24"/>
              </w:rPr>
              <w:t xml:space="preserve"> liability exceed $1,000. </w:t>
            </w:r>
          </w:p>
        </w:tc>
      </w:tr>
      <w:tr w:rsidR="00664E57" w:rsidRPr="00EE1086" w:rsidTr="00664E57">
        <w:trPr>
          <w:trHeight w:val="80"/>
        </w:trPr>
        <w:tc>
          <w:tcPr>
            <w:tcW w:w="11790" w:type="dxa"/>
            <w:gridSpan w:val="7"/>
            <w:tcBorders>
              <w:top w:val="nil"/>
              <w:left w:val="nil"/>
              <w:bottom w:val="nil"/>
              <w:right w:val="nil"/>
            </w:tcBorders>
            <w:shd w:val="clear" w:color="auto" w:fill="auto"/>
          </w:tcPr>
          <w:p w:rsidR="00664E57" w:rsidRPr="00EE1086" w:rsidRDefault="00664E57" w:rsidP="00EE1086">
            <w:pPr>
              <w:widowControl/>
              <w:jc w:val="center"/>
              <w:rPr>
                <w:rFonts w:ascii="Wingdings" w:eastAsia="Times New Roman" w:hAnsi="Wingdings" w:cs="Times New Roman"/>
                <w:color w:val="000000"/>
                <w:sz w:val="24"/>
                <w:szCs w:val="24"/>
              </w:rPr>
            </w:pP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Mentor Foundation USA</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7,000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jc w:val="center"/>
              <w:rPr>
                <w:rFonts w:ascii="Calibri" w:eastAsia="Times New Roman" w:hAnsi="Calibri" w:cs="Times New Roman"/>
                <w:color w:val="000000"/>
              </w:rPr>
            </w:pPr>
            <w:r w:rsidRPr="00EE1086">
              <w:rPr>
                <w:rFonts w:ascii="Calibri" w:eastAsia="Times New Roman" w:hAnsi="Calibri" w:cs="Times New Roman"/>
                <w:color w:val="000000"/>
              </w:rPr>
              <w:t>Taconic Hills HS Drug Prevention</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Columbia County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2,933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jc w:val="center"/>
              <w:rPr>
                <w:rFonts w:ascii="Calibri" w:eastAsia="Times New Roman" w:hAnsi="Calibri" w:cs="Times New Roman"/>
                <w:color w:val="000000"/>
              </w:rPr>
            </w:pPr>
            <w:r w:rsidRPr="00EE1086">
              <w:rPr>
                <w:rFonts w:ascii="Calibri" w:eastAsia="Times New Roman" w:hAnsi="Calibri" w:cs="Times New Roman"/>
                <w:color w:val="000000"/>
              </w:rPr>
              <w:t>Vehicle Fuel, Lease Paymt &amp; Repairs</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Albany Broadcasting Company</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1,290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jc w:val="center"/>
              <w:rPr>
                <w:rFonts w:ascii="Calibri" w:eastAsia="Times New Roman" w:hAnsi="Calibri" w:cs="Times New Roman"/>
                <w:color w:val="000000"/>
              </w:rPr>
            </w:pPr>
            <w:r w:rsidRPr="00EE1086">
              <w:rPr>
                <w:rFonts w:ascii="Calibri" w:eastAsia="Times New Roman" w:hAnsi="Calibri" w:cs="Times New Roman"/>
                <w:color w:val="000000"/>
              </w:rPr>
              <w:t>Advertising-Tobacco</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The Golub Corp (Price Chopper)</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1,020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jc w:val="center"/>
              <w:rPr>
                <w:rFonts w:ascii="Calibri" w:eastAsia="Times New Roman" w:hAnsi="Calibri" w:cs="Times New Roman"/>
                <w:color w:val="000000"/>
              </w:rPr>
            </w:pPr>
            <w:r w:rsidRPr="00EE1086">
              <w:rPr>
                <w:rFonts w:ascii="Calibri" w:eastAsia="Times New Roman" w:hAnsi="Calibri" w:cs="Times New Roman"/>
                <w:color w:val="000000"/>
              </w:rPr>
              <w:t>Rx Access - Patient Rx</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Agency Credit Card - VISA</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757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jc w:val="center"/>
              <w:rPr>
                <w:rFonts w:ascii="Calibri" w:eastAsia="Times New Roman" w:hAnsi="Calibri" w:cs="Times New Roman"/>
                <w:color w:val="000000"/>
              </w:rPr>
            </w:pPr>
            <w:r w:rsidRPr="00EE1086">
              <w:rPr>
                <w:rFonts w:ascii="Calibri" w:eastAsia="Times New Roman" w:hAnsi="Calibri" w:cs="Times New Roman"/>
                <w:color w:val="000000"/>
              </w:rPr>
              <w:t>Various Program Expenditures</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Cancer Screening Providers</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8,313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jc w:val="center"/>
              <w:rPr>
                <w:rFonts w:ascii="Calibri" w:eastAsia="Times New Roman" w:hAnsi="Calibri" w:cs="Times New Roman"/>
                <w:color w:val="000000"/>
              </w:rPr>
            </w:pPr>
            <w:r w:rsidRPr="00EE1086">
              <w:rPr>
                <w:rFonts w:ascii="Calibri" w:eastAsia="Times New Roman" w:hAnsi="Calibri" w:cs="Times New Roman"/>
                <w:color w:val="000000"/>
              </w:rPr>
              <w:t xml:space="preserve">Clinical Services-Months of Aug &amp; Sept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1474"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r>
      <w:tr w:rsidR="002D423D" w:rsidRPr="00EE1086" w:rsidTr="00801775">
        <w:trPr>
          <w:trHeight w:val="330"/>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Total AP from Above </w:t>
            </w:r>
          </w:p>
        </w:tc>
        <w:tc>
          <w:tcPr>
            <w:tcW w:w="189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21,313 </w:t>
            </w:r>
          </w:p>
        </w:tc>
        <w:tc>
          <w:tcPr>
            <w:tcW w:w="3960" w:type="dxa"/>
            <w:gridSpan w:val="2"/>
            <w:tcBorders>
              <w:top w:val="nil"/>
              <w:left w:val="nil"/>
              <w:bottom w:val="nil"/>
              <w:right w:val="nil"/>
            </w:tcBorders>
            <w:shd w:val="clear" w:color="auto" w:fill="auto"/>
            <w:noWrap/>
            <w:vAlign w:val="bottom"/>
            <w:hideMark/>
          </w:tcPr>
          <w:p w:rsidR="002D423D" w:rsidRPr="00EE1086" w:rsidRDefault="002D423D" w:rsidP="00EE1086">
            <w:pPr>
              <w:widowControl/>
              <w:rPr>
                <w:rFonts w:ascii="Times New Roman" w:eastAsia="Times New Roman" w:hAnsi="Times New Roman" w:cs="Times New Roman"/>
                <w:color w:val="000000"/>
                <w:sz w:val="24"/>
                <w:szCs w:val="24"/>
              </w:rPr>
            </w:pPr>
          </w:p>
        </w:tc>
      </w:tr>
      <w:tr w:rsidR="002D423D" w:rsidRPr="00EE1086" w:rsidTr="00801775">
        <w:trPr>
          <w:trHeight w:val="1998"/>
        </w:trPr>
        <w:tc>
          <w:tcPr>
            <w:tcW w:w="11790" w:type="dxa"/>
            <w:gridSpan w:val="7"/>
            <w:tcBorders>
              <w:top w:val="nil"/>
              <w:left w:val="nil"/>
              <w:bottom w:val="nil"/>
              <w:right w:val="nil"/>
            </w:tcBorders>
            <w:shd w:val="clear" w:color="auto" w:fill="auto"/>
            <w:vAlign w:val="bottom"/>
            <w:hideMark/>
          </w:tcPr>
          <w:p w:rsidR="002D423D" w:rsidRPr="00EE1086" w:rsidRDefault="002D423D" w:rsidP="002D423D">
            <w:pPr>
              <w:widowControl/>
              <w:ind w:left="162"/>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color w:val="000000"/>
                <w:sz w:val="24"/>
                <w:szCs w:val="24"/>
              </w:rPr>
              <w:t xml:space="preserve"> </w:t>
            </w:r>
            <w:r w:rsidRPr="00EE1086">
              <w:rPr>
                <w:rFonts w:ascii="Calibri" w:eastAsia="Times New Roman" w:hAnsi="Calibri" w:cs="Times New Roman"/>
                <w:b/>
                <w:bCs/>
                <w:color w:val="000000"/>
                <w:sz w:val="24"/>
                <w:szCs w:val="24"/>
              </w:rPr>
              <w:t>Advance Funding Payable</w:t>
            </w:r>
            <w:r w:rsidRPr="00EE1086">
              <w:rPr>
                <w:rFonts w:ascii="Calibri" w:eastAsia="Times New Roman" w:hAnsi="Calibri" w:cs="Times New Roman"/>
                <w:color w:val="000000"/>
                <w:sz w:val="24"/>
                <w:szCs w:val="24"/>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September 30, 2016,</w:t>
            </w:r>
          </w:p>
        </w:tc>
      </w:tr>
      <w:tr w:rsidR="002D423D" w:rsidRPr="00EE1086" w:rsidTr="00801775">
        <w:trPr>
          <w:trHeight w:val="630"/>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Program Name</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Beginning Balance at January 1st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Contributions</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&lt;Recognize Revenue&gt;</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Ending Balance at Sept. 30, 2016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Foundation for Community Health</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r>
      <w:tr w:rsidR="002D423D" w:rsidRPr="00EE1086" w:rsidTr="00801775">
        <w:trPr>
          <w:trHeight w:val="342"/>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ind w:firstLineChars="200" w:firstLine="480"/>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Prescription Rx Access</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10,445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7,125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(4,183)</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13,386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ind w:firstLineChars="200" w:firstLine="480"/>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Transportation: A</w:t>
            </w:r>
            <w:r w:rsidR="00801775">
              <w:rPr>
                <w:rFonts w:ascii="Times New Roman" w:eastAsia="Times New Roman" w:hAnsi="Times New Roman" w:cs="Times New Roman"/>
                <w:color w:val="000000"/>
                <w:sz w:val="24"/>
                <w:szCs w:val="24"/>
              </w:rPr>
              <w:t>n</w:t>
            </w:r>
            <w:r w:rsidRPr="00EE1086">
              <w:rPr>
                <w:rFonts w:ascii="Times New Roman" w:eastAsia="Times New Roman" w:hAnsi="Times New Roman" w:cs="Times New Roman"/>
                <w:color w:val="000000"/>
                <w:sz w:val="24"/>
                <w:szCs w:val="24"/>
              </w:rPr>
              <w:t>cram/Copake</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25,000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(17,775)</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7,225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801775">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Children's Mental Health Project</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20,238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(14,263)</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5,975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Dyson Foundation</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ind w:firstLineChars="200" w:firstLine="480"/>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Prescription Rx Access</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25,000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(18,349)</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6,651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NYS Grant Advances</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ind w:firstLineChars="200" w:firstLine="480"/>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Cancer Services Program</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5,060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35,000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(23,456)</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16,604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ind w:firstLineChars="200" w:firstLine="480"/>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Tobacco Free Program</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40,565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79,750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(61,478)</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58,837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0"/>
                <w:szCs w:val="20"/>
              </w:rPr>
            </w:pPr>
            <w:r w:rsidRPr="00EE1086">
              <w:rPr>
                <w:rFonts w:ascii="Times New Roman" w:eastAsia="Times New Roman" w:hAnsi="Times New Roman" w:cs="Times New Roman"/>
                <w:color w:val="000000"/>
                <w:sz w:val="20"/>
                <w:szCs w:val="20"/>
              </w:rPr>
              <w:t>Health &amp; Recovery Plan (HCBS-HARP)</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0"/>
                <w:szCs w:val="20"/>
              </w:rPr>
            </w:pP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49,850 </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49,850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jc w:val="right"/>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Total Advance Funding Payable</w:t>
            </w:r>
          </w:p>
        </w:tc>
        <w:tc>
          <w:tcPr>
            <w:tcW w:w="2160" w:type="dxa"/>
            <w:gridSpan w:val="2"/>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76,308 </w:t>
            </w:r>
          </w:p>
        </w:tc>
        <w:tc>
          <w:tcPr>
            <w:tcW w:w="189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221,725 </w:t>
            </w:r>
          </w:p>
        </w:tc>
        <w:tc>
          <w:tcPr>
            <w:tcW w:w="198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(139,504)</w:t>
            </w:r>
          </w:p>
        </w:tc>
        <w:tc>
          <w:tcPr>
            <w:tcW w:w="198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158,529 </w:t>
            </w:r>
          </w:p>
        </w:tc>
      </w:tr>
      <w:tr w:rsidR="002D423D" w:rsidRPr="00EE1086" w:rsidTr="00801775">
        <w:trPr>
          <w:trHeight w:val="1215"/>
        </w:trPr>
        <w:tc>
          <w:tcPr>
            <w:tcW w:w="11790" w:type="dxa"/>
            <w:gridSpan w:val="7"/>
            <w:tcBorders>
              <w:top w:val="nil"/>
              <w:left w:val="nil"/>
              <w:bottom w:val="nil"/>
              <w:right w:val="nil"/>
            </w:tcBorders>
            <w:shd w:val="clear" w:color="auto" w:fill="auto"/>
            <w:vAlign w:val="bottom"/>
            <w:hideMark/>
          </w:tcPr>
          <w:p w:rsidR="002D423D" w:rsidRPr="00EE1086" w:rsidRDefault="002D423D" w:rsidP="00801775">
            <w:pPr>
              <w:widowControl/>
              <w:jc w:val="both"/>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lastRenderedPageBreak/>
              <w:t></w:t>
            </w:r>
            <w:r w:rsidRPr="00EE1086">
              <w:rPr>
                <w:rFonts w:ascii="Times New Roman" w:eastAsia="Times New Roman" w:hAnsi="Times New Roman" w:cs="Times New Roman"/>
                <w:color w:val="000000"/>
                <w:sz w:val="24"/>
                <w:szCs w:val="24"/>
              </w:rPr>
              <w:t xml:space="preserve"> </w:t>
            </w:r>
            <w:r w:rsidRPr="00EE1086">
              <w:rPr>
                <w:rFonts w:ascii="Calibri" w:eastAsia="Times New Roman" w:hAnsi="Calibri" w:cs="Times New Roman"/>
                <w:b/>
                <w:bCs/>
                <w:color w:val="000000"/>
                <w:sz w:val="24"/>
                <w:szCs w:val="24"/>
              </w:rPr>
              <w:t>Temporary Restricted Net Assets</w:t>
            </w:r>
            <w:r w:rsidRPr="00EE1086">
              <w:rPr>
                <w:rFonts w:ascii="Calibri" w:eastAsia="Times New Roman" w:hAnsi="Calibri" w:cs="Times New Roman"/>
                <w:color w:val="000000"/>
                <w:sz w:val="24"/>
                <w:szCs w:val="24"/>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Sept. 30, 2016: </w:t>
            </w:r>
          </w:p>
        </w:tc>
      </w:tr>
      <w:tr w:rsidR="002D423D" w:rsidRPr="00EE1086" w:rsidTr="00801775">
        <w:trPr>
          <w:trHeight w:val="94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Program Name</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Beginning Balance at January 1st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Contributions</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&lt;Assets Released from Temporary Restrictions&gt;</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 xml:space="preserve">Ending Balance at Sept. 30, 2016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Columbia County</w:t>
            </w:r>
            <w:r w:rsidRPr="00EE1086">
              <w:rPr>
                <w:rFonts w:ascii="Times New Roman" w:eastAsia="Times New Roman" w:hAnsi="Times New Roman" w:cs="Times New Roman"/>
                <w:color w:val="000000"/>
              </w:rPr>
              <w:t xml:space="preserve"> </w:t>
            </w:r>
            <w:r w:rsidRPr="00801775">
              <w:rPr>
                <w:rFonts w:ascii="Times New Roman" w:eastAsia="Times New Roman" w:hAnsi="Times New Roman" w:cs="Times New Roman"/>
                <w:color w:val="000000"/>
                <w:sz w:val="16"/>
                <w:szCs w:val="16"/>
              </w:rPr>
              <w:t>CARTS &amp; Receptionist</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49,000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(36,750)</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12,250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Columbia County Depts.-CARTS</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19,000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(14,250)</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4,750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Columbia County Cancer Fund</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11,831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1,220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(7,893)</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5,158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Greene County Cancer Fund</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8,690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3,478 </w:t>
            </w: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(2,354)</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9,814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Complementary Therapies</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6,955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(1,100)</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5,855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Jan Koweek Fund</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901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901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rPr>
                <w:rFonts w:ascii="Times New Roman" w:eastAsia="Times New Roman" w:hAnsi="Times New Roman" w:cs="Times New Roman"/>
                <w:color w:val="000000"/>
              </w:rPr>
            </w:pPr>
            <w:r w:rsidRPr="00EE1086">
              <w:rPr>
                <w:rFonts w:ascii="Times New Roman" w:eastAsia="Times New Roman" w:hAnsi="Times New Roman" w:cs="Times New Roman"/>
                <w:color w:val="000000"/>
              </w:rPr>
              <w:t>Galvan Foundation-Bengali Community</w:t>
            </w:r>
          </w:p>
        </w:tc>
        <w:tc>
          <w:tcPr>
            <w:tcW w:w="2160" w:type="dxa"/>
            <w:gridSpan w:val="2"/>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10,470 </w:t>
            </w:r>
          </w:p>
        </w:tc>
        <w:tc>
          <w:tcPr>
            <w:tcW w:w="189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center"/>
            <w:hideMark/>
          </w:tcPr>
          <w:p w:rsidR="002D423D" w:rsidRPr="00EE1086" w:rsidRDefault="00801775" w:rsidP="00EE1086">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423D" w:rsidRPr="00EE1086">
              <w:rPr>
                <w:rFonts w:ascii="Times New Roman" w:eastAsia="Times New Roman" w:hAnsi="Times New Roman" w:cs="Times New Roman"/>
                <w:color w:val="000000"/>
                <w:sz w:val="24"/>
                <w:szCs w:val="24"/>
              </w:rPr>
              <w:t>(6,686)</w:t>
            </w:r>
          </w:p>
        </w:tc>
        <w:tc>
          <w:tcPr>
            <w:tcW w:w="198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3,784 </w:t>
            </w:r>
          </w:p>
        </w:tc>
      </w:tr>
      <w:tr w:rsidR="002D423D" w:rsidRPr="00EE1086" w:rsidTr="00801775">
        <w:trPr>
          <w:trHeight w:val="315"/>
        </w:trPr>
        <w:tc>
          <w:tcPr>
            <w:tcW w:w="270" w:type="dxa"/>
            <w:tcBorders>
              <w:top w:val="nil"/>
              <w:left w:val="nil"/>
              <w:bottom w:val="nil"/>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vAlign w:val="center"/>
            <w:hideMark/>
          </w:tcPr>
          <w:p w:rsidR="002D423D" w:rsidRPr="00EE1086" w:rsidRDefault="002D423D" w:rsidP="00EE1086">
            <w:pPr>
              <w:widowControl/>
              <w:jc w:val="right"/>
              <w:rPr>
                <w:rFonts w:ascii="Times New Roman" w:eastAsia="Times New Roman" w:hAnsi="Times New Roman" w:cs="Times New Roman"/>
                <w:b/>
                <w:bCs/>
                <w:color w:val="000000"/>
                <w:sz w:val="24"/>
                <w:szCs w:val="24"/>
              </w:rPr>
            </w:pPr>
            <w:r w:rsidRPr="00EE1086">
              <w:rPr>
                <w:rFonts w:ascii="Times New Roman" w:eastAsia="Times New Roman" w:hAnsi="Times New Roman" w:cs="Times New Roman"/>
                <w:b/>
                <w:bCs/>
                <w:color w:val="000000"/>
                <w:sz w:val="24"/>
                <w:szCs w:val="24"/>
              </w:rPr>
              <w:t>Totals of Temporary Restricted Funds</w:t>
            </w:r>
          </w:p>
        </w:tc>
        <w:tc>
          <w:tcPr>
            <w:tcW w:w="2160" w:type="dxa"/>
            <w:gridSpan w:val="2"/>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38,847 </w:t>
            </w:r>
          </w:p>
        </w:tc>
        <w:tc>
          <w:tcPr>
            <w:tcW w:w="189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72,698 </w:t>
            </w:r>
          </w:p>
        </w:tc>
        <w:tc>
          <w:tcPr>
            <w:tcW w:w="198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(69,033)</w:t>
            </w:r>
          </w:p>
        </w:tc>
        <w:tc>
          <w:tcPr>
            <w:tcW w:w="1980" w:type="dxa"/>
            <w:tcBorders>
              <w:top w:val="single" w:sz="4" w:space="0" w:color="auto"/>
              <w:left w:val="nil"/>
              <w:bottom w:val="double" w:sz="6" w:space="0" w:color="auto"/>
              <w:right w:val="nil"/>
            </w:tcBorders>
            <w:shd w:val="clear" w:color="auto" w:fill="auto"/>
            <w:vAlign w:val="center"/>
            <w:hideMark/>
          </w:tcPr>
          <w:p w:rsidR="002D423D" w:rsidRPr="00EE1086" w:rsidRDefault="002D423D" w:rsidP="00EE1086">
            <w:pPr>
              <w:widowControl/>
              <w:jc w:val="center"/>
              <w:rPr>
                <w:rFonts w:ascii="Times New Roman" w:eastAsia="Times New Roman" w:hAnsi="Times New Roman" w:cs="Times New Roman"/>
                <w:color w:val="000000"/>
                <w:sz w:val="24"/>
                <w:szCs w:val="24"/>
              </w:rPr>
            </w:pPr>
            <w:r w:rsidRPr="00EE1086">
              <w:rPr>
                <w:rFonts w:ascii="Times New Roman" w:eastAsia="Times New Roman" w:hAnsi="Times New Roman" w:cs="Times New Roman"/>
                <w:color w:val="000000"/>
                <w:sz w:val="24"/>
                <w:szCs w:val="24"/>
              </w:rPr>
              <w:t xml:space="preserve"> $              42,512 </w:t>
            </w:r>
          </w:p>
        </w:tc>
      </w:tr>
      <w:tr w:rsidR="002D423D" w:rsidRPr="00EE1086" w:rsidTr="002D423D">
        <w:trPr>
          <w:trHeight w:val="522"/>
        </w:trPr>
        <w:tc>
          <w:tcPr>
            <w:tcW w:w="11790" w:type="dxa"/>
            <w:gridSpan w:val="7"/>
            <w:tcBorders>
              <w:top w:val="nil"/>
              <w:left w:val="nil"/>
              <w:bottom w:val="nil"/>
              <w:right w:val="nil"/>
            </w:tcBorders>
            <w:shd w:val="clear" w:color="auto" w:fill="auto"/>
            <w:vAlign w:val="bottom"/>
            <w:hideMark/>
          </w:tcPr>
          <w:p w:rsidR="002D423D" w:rsidRPr="00EE1086" w:rsidRDefault="002D423D" w:rsidP="00EE1086">
            <w:pPr>
              <w:widowControl/>
              <w:jc w:val="center"/>
              <w:rPr>
                <w:rFonts w:ascii="Wingdings" w:eastAsia="Times New Roman" w:hAnsi="Wingdings" w:cs="Times New Roman"/>
                <w:color w:val="000000"/>
                <w:sz w:val="24"/>
                <w:szCs w:val="24"/>
              </w:rPr>
            </w:pPr>
            <w:r w:rsidRPr="00EE1086">
              <w:rPr>
                <w:rFonts w:ascii="Wingdings" w:eastAsia="Times New Roman" w:hAnsi="Wingdings" w:cs="Times New Roman"/>
                <w:color w:val="000000"/>
                <w:sz w:val="24"/>
                <w:szCs w:val="24"/>
              </w:rPr>
              <w:t></w:t>
            </w:r>
            <w:r w:rsidRPr="00EE1086">
              <w:rPr>
                <w:rFonts w:ascii="Times New Roman" w:eastAsia="Times New Roman" w:hAnsi="Times New Roman" w:cs="Times New Roman"/>
                <w:color w:val="000000"/>
                <w:sz w:val="24"/>
                <w:szCs w:val="24"/>
              </w:rPr>
              <w:t xml:space="preserve"> </w:t>
            </w:r>
            <w:r w:rsidRPr="00EE1086">
              <w:rPr>
                <w:rFonts w:ascii="Times New Roman" w:eastAsia="Times New Roman" w:hAnsi="Times New Roman" w:cs="Times New Roman"/>
                <w:b/>
                <w:bCs/>
                <w:color w:val="000000"/>
                <w:sz w:val="24"/>
                <w:szCs w:val="24"/>
              </w:rPr>
              <w:t>Change in Unrestricted Net Assets</w:t>
            </w:r>
            <w:r w:rsidRPr="00EE1086">
              <w:rPr>
                <w:rFonts w:ascii="Calibri" w:eastAsia="Times New Roman" w:hAnsi="Calibri" w:cs="Times New Roman"/>
                <w:color w:val="000000"/>
                <w:sz w:val="24"/>
                <w:szCs w:val="24"/>
              </w:rPr>
              <w:t xml:space="preserve"> - For the nine months ending September 30, 2016, increase of $30,261 (or Total Revenue of $1,266,047 less Total Expenses of $1,235,786).</w:t>
            </w:r>
          </w:p>
        </w:tc>
      </w:tr>
      <w:tr w:rsidR="002D423D" w:rsidRPr="00EE1086" w:rsidTr="00801775">
        <w:trPr>
          <w:trHeight w:val="378"/>
        </w:trPr>
        <w:tc>
          <w:tcPr>
            <w:tcW w:w="11790" w:type="dxa"/>
            <w:gridSpan w:val="7"/>
            <w:tcBorders>
              <w:top w:val="nil"/>
              <w:left w:val="nil"/>
              <w:bottom w:val="nil"/>
              <w:right w:val="nil"/>
            </w:tcBorders>
            <w:shd w:val="clear" w:color="auto" w:fill="auto"/>
            <w:vAlign w:val="bottom"/>
            <w:hideMark/>
          </w:tcPr>
          <w:p w:rsidR="002D423D" w:rsidRPr="00EE1086" w:rsidRDefault="002D423D" w:rsidP="00EE1086">
            <w:pPr>
              <w:widowControl/>
              <w:jc w:val="center"/>
              <w:rPr>
                <w:rFonts w:ascii="Wide Latin" w:eastAsia="Times New Roman" w:hAnsi="Wide Latin" w:cs="Times New Roman"/>
                <w:color w:val="000000"/>
                <w:sz w:val="24"/>
                <w:szCs w:val="24"/>
              </w:rPr>
            </w:pPr>
            <w:r w:rsidRPr="00EE1086">
              <w:rPr>
                <w:rFonts w:ascii="Wide Latin" w:eastAsia="Times New Roman" w:hAnsi="Wide Latin" w:cs="Times New Roman"/>
                <w:color w:val="000000"/>
                <w:sz w:val="24"/>
                <w:szCs w:val="24"/>
              </w:rPr>
              <w:t>Statement of Activities</w:t>
            </w:r>
          </w:p>
        </w:tc>
      </w:tr>
      <w:tr w:rsidR="002D423D" w:rsidRPr="00EE1086" w:rsidTr="00801775">
        <w:trPr>
          <w:trHeight w:val="390"/>
        </w:trPr>
        <w:tc>
          <w:tcPr>
            <w:tcW w:w="3780" w:type="dxa"/>
            <w:gridSpan w:val="2"/>
            <w:tcBorders>
              <w:top w:val="nil"/>
              <w:left w:val="nil"/>
              <w:bottom w:val="single" w:sz="8" w:space="0" w:color="auto"/>
              <w:right w:val="nil"/>
            </w:tcBorders>
            <w:shd w:val="clear" w:color="auto" w:fill="auto"/>
            <w:noWrap/>
            <w:vAlign w:val="bottom"/>
            <w:hideMark/>
          </w:tcPr>
          <w:p w:rsidR="002D423D" w:rsidRPr="00EE1086" w:rsidRDefault="002D423D" w:rsidP="002D423D">
            <w:pPr>
              <w:widowControl/>
              <w:ind w:left="252" w:hanging="90"/>
              <w:rPr>
                <w:rFonts w:ascii="Arial" w:eastAsia="Times New Roman" w:hAnsi="Arial" w:cs="Arial"/>
                <w:b/>
                <w:bCs/>
                <w:color w:val="000000"/>
                <w:sz w:val="24"/>
                <w:szCs w:val="24"/>
              </w:rPr>
            </w:pPr>
            <w:r w:rsidRPr="00EE1086">
              <w:rPr>
                <w:rFonts w:ascii="Arial" w:eastAsia="Times New Roman" w:hAnsi="Arial" w:cs="Arial"/>
                <w:b/>
                <w:bCs/>
                <w:color w:val="000000"/>
                <w:sz w:val="24"/>
                <w:szCs w:val="24"/>
              </w:rPr>
              <w:t>Revenue and Support</w:t>
            </w:r>
          </w:p>
        </w:tc>
        <w:tc>
          <w:tcPr>
            <w:tcW w:w="2160" w:type="dxa"/>
            <w:gridSpan w:val="2"/>
            <w:tcBorders>
              <w:top w:val="nil"/>
              <w:left w:val="nil"/>
              <w:bottom w:val="single" w:sz="8" w:space="0" w:color="auto"/>
              <w:right w:val="nil"/>
            </w:tcBorders>
            <w:shd w:val="clear" w:color="auto" w:fill="auto"/>
            <w:noWrap/>
            <w:vAlign w:val="bottom"/>
            <w:hideMark/>
          </w:tcPr>
          <w:p w:rsidR="002D423D" w:rsidRPr="00EE1086" w:rsidRDefault="002D423D" w:rsidP="00EE1086">
            <w:pPr>
              <w:widowControl/>
              <w:rPr>
                <w:rFonts w:ascii="Arial" w:eastAsia="Times New Roman" w:hAnsi="Arial" w:cs="Arial"/>
                <w:b/>
                <w:bCs/>
                <w:color w:val="000000"/>
                <w:sz w:val="24"/>
                <w:szCs w:val="24"/>
              </w:rPr>
            </w:pPr>
            <w:r w:rsidRPr="00EE1086">
              <w:rPr>
                <w:rFonts w:ascii="Arial" w:eastAsia="Times New Roman" w:hAnsi="Arial" w:cs="Arial"/>
                <w:b/>
                <w:bCs/>
                <w:color w:val="000000"/>
                <w:sz w:val="24"/>
                <w:szCs w:val="24"/>
              </w:rPr>
              <w:t> </w:t>
            </w:r>
          </w:p>
        </w:tc>
        <w:tc>
          <w:tcPr>
            <w:tcW w:w="1890" w:type="dxa"/>
            <w:tcBorders>
              <w:top w:val="nil"/>
              <w:left w:val="nil"/>
              <w:bottom w:val="single" w:sz="8" w:space="0" w:color="auto"/>
              <w:right w:val="nil"/>
            </w:tcBorders>
            <w:shd w:val="clear" w:color="auto" w:fill="auto"/>
            <w:noWrap/>
            <w:vAlign w:val="bottom"/>
            <w:hideMark/>
          </w:tcPr>
          <w:p w:rsidR="002D423D" w:rsidRPr="00EE1086" w:rsidRDefault="002D423D" w:rsidP="00EE1086">
            <w:pPr>
              <w:widowControl/>
              <w:rPr>
                <w:rFonts w:ascii="Arial" w:eastAsia="Times New Roman" w:hAnsi="Arial" w:cs="Arial"/>
                <w:b/>
                <w:bCs/>
                <w:color w:val="000000"/>
                <w:sz w:val="24"/>
                <w:szCs w:val="24"/>
              </w:rPr>
            </w:pPr>
            <w:r w:rsidRPr="00EE1086">
              <w:rPr>
                <w:rFonts w:ascii="Arial" w:eastAsia="Times New Roman" w:hAnsi="Arial" w:cs="Arial"/>
                <w:b/>
                <w:bCs/>
                <w:color w:val="000000"/>
                <w:sz w:val="24"/>
                <w:szCs w:val="24"/>
              </w:rPr>
              <w:t> </w:t>
            </w:r>
          </w:p>
        </w:tc>
        <w:tc>
          <w:tcPr>
            <w:tcW w:w="1980" w:type="dxa"/>
            <w:tcBorders>
              <w:top w:val="nil"/>
              <w:left w:val="nil"/>
              <w:bottom w:val="single" w:sz="8" w:space="0" w:color="auto"/>
              <w:right w:val="nil"/>
            </w:tcBorders>
            <w:shd w:val="clear" w:color="auto" w:fill="auto"/>
            <w:noWrap/>
            <w:vAlign w:val="bottom"/>
            <w:hideMark/>
          </w:tcPr>
          <w:p w:rsidR="002D423D" w:rsidRPr="00EE1086" w:rsidRDefault="002D423D" w:rsidP="00EE1086">
            <w:pPr>
              <w:widowControl/>
              <w:jc w:val="center"/>
              <w:rPr>
                <w:rFonts w:ascii="Arial" w:eastAsia="Times New Roman" w:hAnsi="Arial" w:cs="Arial"/>
                <w:color w:val="000000"/>
                <w:sz w:val="20"/>
                <w:szCs w:val="20"/>
              </w:rPr>
            </w:pPr>
            <w:r w:rsidRPr="00EE1086">
              <w:rPr>
                <w:rFonts w:ascii="Arial" w:eastAsia="Times New Roman" w:hAnsi="Arial" w:cs="Arial"/>
                <w:color w:val="000000"/>
                <w:sz w:val="20"/>
                <w:szCs w:val="20"/>
              </w:rPr>
              <w:t>September 30, 2016</w:t>
            </w:r>
          </w:p>
        </w:tc>
        <w:tc>
          <w:tcPr>
            <w:tcW w:w="1980" w:type="dxa"/>
            <w:tcBorders>
              <w:top w:val="nil"/>
              <w:left w:val="nil"/>
              <w:bottom w:val="single" w:sz="8" w:space="0" w:color="auto"/>
              <w:right w:val="nil"/>
            </w:tcBorders>
            <w:shd w:val="clear" w:color="auto" w:fill="auto"/>
            <w:noWrap/>
            <w:vAlign w:val="bottom"/>
            <w:hideMark/>
          </w:tcPr>
          <w:p w:rsidR="002D423D" w:rsidRPr="00EE1086" w:rsidRDefault="002D423D" w:rsidP="00EE1086">
            <w:pPr>
              <w:widowControl/>
              <w:jc w:val="center"/>
              <w:rPr>
                <w:rFonts w:ascii="Arial" w:eastAsia="Times New Roman" w:hAnsi="Arial" w:cs="Arial"/>
                <w:color w:val="000000"/>
                <w:sz w:val="20"/>
                <w:szCs w:val="20"/>
              </w:rPr>
            </w:pPr>
            <w:r w:rsidRPr="00EE1086">
              <w:rPr>
                <w:rFonts w:ascii="Arial" w:eastAsia="Times New Roman" w:hAnsi="Arial" w:cs="Arial"/>
                <w:color w:val="000000"/>
                <w:sz w:val="20"/>
                <w:szCs w:val="20"/>
              </w:rPr>
              <w:t>September 30, 2015</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jc w:val="center"/>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Grants - New York State</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           797,719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          746,769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Grants - Federal (HRI)</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11,628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16,095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Transportation - Medicaid </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146,172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141,763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Greene County DSS</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31,757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24,611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Columbia County Departments</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r>
      <w:tr w:rsidR="002D423D" w:rsidRPr="00EE1086" w:rsidTr="002D423D">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5670" w:type="dxa"/>
            <w:gridSpan w:val="3"/>
            <w:tcBorders>
              <w:top w:val="nil"/>
              <w:left w:val="nil"/>
              <w:bottom w:val="nil"/>
              <w:right w:val="nil"/>
            </w:tcBorders>
            <w:shd w:val="clear" w:color="auto" w:fill="auto"/>
            <w:noWrap/>
            <w:vAlign w:val="center"/>
            <w:hideMark/>
          </w:tcPr>
          <w:p w:rsidR="002D423D" w:rsidRPr="00EE1086" w:rsidRDefault="002D423D" w:rsidP="00EE1086">
            <w:pPr>
              <w:widowControl/>
              <w:ind w:firstLineChars="400" w:firstLine="960"/>
              <w:rPr>
                <w:rFonts w:ascii="Arial" w:eastAsia="Times New Roman" w:hAnsi="Arial" w:cs="Arial"/>
                <w:color w:val="000000"/>
                <w:sz w:val="24"/>
                <w:szCs w:val="24"/>
              </w:rPr>
            </w:pPr>
            <w:r w:rsidRPr="00EE1086">
              <w:rPr>
                <w:rFonts w:ascii="Arial" w:eastAsia="Times New Roman" w:hAnsi="Arial" w:cs="Arial"/>
                <w:color w:val="000000"/>
                <w:sz w:val="24"/>
                <w:szCs w:val="24"/>
              </w:rPr>
              <w:t>OFA: NY Connects, Senior Transportation</w:t>
            </w: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ind w:firstLineChars="400" w:firstLine="960"/>
              <w:rPr>
                <w:rFonts w:ascii="Arial" w:eastAsia="Times New Roman" w:hAnsi="Arial" w:cs="Arial"/>
                <w:color w:val="000000"/>
                <w:sz w:val="24"/>
                <w:szCs w:val="24"/>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96,387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62,264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ind w:firstLineChars="400" w:firstLine="960"/>
              <w:rPr>
                <w:rFonts w:ascii="Arial" w:eastAsia="Times New Roman" w:hAnsi="Arial" w:cs="Arial"/>
                <w:color w:val="000000"/>
                <w:sz w:val="24"/>
                <w:szCs w:val="24"/>
              </w:rPr>
            </w:pPr>
            <w:r w:rsidRPr="00EE1086">
              <w:rPr>
                <w:rFonts w:ascii="Arial" w:eastAsia="Times New Roman" w:hAnsi="Arial" w:cs="Arial"/>
                <w:color w:val="000000"/>
                <w:sz w:val="24"/>
                <w:szCs w:val="24"/>
              </w:rPr>
              <w:t>Dept. of Human Services</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ind w:firstLineChars="400" w:firstLine="960"/>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7,481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6,828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ind w:firstLineChars="400" w:firstLine="960"/>
              <w:rPr>
                <w:rFonts w:ascii="Arial" w:eastAsia="Times New Roman" w:hAnsi="Arial" w:cs="Arial"/>
                <w:color w:val="000000"/>
                <w:sz w:val="24"/>
                <w:szCs w:val="24"/>
              </w:rPr>
            </w:pPr>
            <w:r w:rsidRPr="00EE1086">
              <w:rPr>
                <w:rFonts w:ascii="Arial" w:eastAsia="Times New Roman" w:hAnsi="Arial" w:cs="Arial"/>
                <w:color w:val="000000"/>
                <w:sz w:val="24"/>
                <w:szCs w:val="24"/>
              </w:rPr>
              <w:t>Dept. of Health</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ind w:firstLineChars="400" w:firstLine="960"/>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634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Albany Medical Center</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7,125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Donations - Transportation</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6,671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6,956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Donations - Others</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150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20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Interest - Bank Accounts</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918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1,099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Investment Income</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706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266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Unrealized Gain (Loss) on Investment</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468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(385)</w:t>
            </w:r>
          </w:p>
        </w:tc>
      </w:tr>
      <w:tr w:rsidR="002D423D" w:rsidRPr="00EE1086" w:rsidTr="002D423D">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5670" w:type="dxa"/>
            <w:gridSpan w:val="3"/>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Foundation Revenue-FCH &amp; Dyson</w:t>
            </w: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53,834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103,420 </w:t>
            </w:r>
          </w:p>
        </w:tc>
      </w:tr>
      <w:tr w:rsidR="002D423D" w:rsidRPr="00EE1086" w:rsidTr="002D423D">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5670" w:type="dxa"/>
            <w:gridSpan w:val="3"/>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Miscellaneous Revenue - NYS Interest &amp; Others</w:t>
            </w: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431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556 </w:t>
            </w:r>
          </w:p>
        </w:tc>
      </w:tr>
      <w:tr w:rsidR="002D423D" w:rsidRPr="00EE1086" w:rsidTr="00801775">
        <w:trPr>
          <w:trHeight w:val="420"/>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In-Kind Rent - Columbia County</w:t>
            </w: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1980" w:type="dxa"/>
            <w:tcBorders>
              <w:top w:val="nil"/>
              <w:left w:val="nil"/>
              <w:bottom w:val="single" w:sz="8" w:space="0" w:color="auto"/>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34,931 </w:t>
            </w:r>
          </w:p>
        </w:tc>
        <w:tc>
          <w:tcPr>
            <w:tcW w:w="1980" w:type="dxa"/>
            <w:tcBorders>
              <w:top w:val="nil"/>
              <w:left w:val="nil"/>
              <w:bottom w:val="single" w:sz="8" w:space="0" w:color="auto"/>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34,931 </w:t>
            </w:r>
          </w:p>
        </w:tc>
      </w:tr>
      <w:tr w:rsidR="002D423D" w:rsidRPr="00EE1086" w:rsidTr="00801775">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b/>
                <w:bCs/>
                <w:color w:val="000000"/>
                <w:sz w:val="24"/>
                <w:szCs w:val="24"/>
              </w:rPr>
            </w:pPr>
            <w:r w:rsidRPr="00EE1086">
              <w:rPr>
                <w:rFonts w:ascii="Arial" w:eastAsia="Times New Roman" w:hAnsi="Arial" w:cs="Arial"/>
                <w:b/>
                <w:bCs/>
                <w:color w:val="000000"/>
                <w:sz w:val="24"/>
                <w:szCs w:val="24"/>
              </w:rPr>
              <w:t>Total Revenue and Support</w:t>
            </w: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b/>
                <w:bCs/>
                <w:color w:val="000000"/>
                <w:sz w:val="24"/>
                <w:szCs w:val="24"/>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1,197,012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1,145,193 </w:t>
            </w:r>
          </w:p>
        </w:tc>
      </w:tr>
      <w:tr w:rsidR="002D423D" w:rsidRPr="00EE1086" w:rsidTr="002D423D">
        <w:trPr>
          <w:trHeight w:val="405"/>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5670" w:type="dxa"/>
            <w:gridSpan w:val="3"/>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b/>
                <w:bCs/>
                <w:color w:val="000000"/>
                <w:sz w:val="24"/>
                <w:szCs w:val="24"/>
              </w:rPr>
            </w:pPr>
            <w:r w:rsidRPr="00EE1086">
              <w:rPr>
                <w:rFonts w:ascii="Arial" w:eastAsia="Times New Roman" w:hAnsi="Arial" w:cs="Arial"/>
                <w:b/>
                <w:bCs/>
                <w:color w:val="000000"/>
                <w:sz w:val="24"/>
                <w:szCs w:val="24"/>
              </w:rPr>
              <w:t>Assets Released from Temporary Restrictions</w:t>
            </w:r>
          </w:p>
        </w:tc>
        <w:tc>
          <w:tcPr>
            <w:tcW w:w="189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b/>
                <w:bCs/>
                <w:color w:val="000000"/>
                <w:sz w:val="24"/>
                <w:szCs w:val="24"/>
              </w:rPr>
            </w:pP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69,033 </w:t>
            </w:r>
          </w:p>
        </w:tc>
        <w:tc>
          <w:tcPr>
            <w:tcW w:w="198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78,634 </w:t>
            </w:r>
          </w:p>
        </w:tc>
      </w:tr>
      <w:tr w:rsidR="002D423D" w:rsidRPr="00EE1086" w:rsidTr="00801775">
        <w:trPr>
          <w:trHeight w:val="420"/>
        </w:trPr>
        <w:tc>
          <w:tcPr>
            <w:tcW w:w="27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noWrap/>
            <w:vAlign w:val="center"/>
            <w:hideMark/>
          </w:tcPr>
          <w:p w:rsidR="002D423D" w:rsidRPr="00EE1086" w:rsidRDefault="002D423D" w:rsidP="00EE1086">
            <w:pPr>
              <w:widowControl/>
              <w:rPr>
                <w:rFonts w:ascii="Times New Roman" w:eastAsia="Times New Roman" w:hAnsi="Times New Roman" w:cs="Times New Roman"/>
                <w:sz w:val="20"/>
                <w:szCs w:val="20"/>
              </w:rPr>
            </w:pPr>
          </w:p>
        </w:tc>
        <w:tc>
          <w:tcPr>
            <w:tcW w:w="4050" w:type="dxa"/>
            <w:gridSpan w:val="3"/>
            <w:tcBorders>
              <w:top w:val="nil"/>
              <w:left w:val="nil"/>
              <w:bottom w:val="nil"/>
              <w:right w:val="nil"/>
            </w:tcBorders>
            <w:shd w:val="clear" w:color="auto" w:fill="auto"/>
            <w:noWrap/>
            <w:vAlign w:val="center"/>
            <w:hideMark/>
          </w:tcPr>
          <w:p w:rsidR="002D423D" w:rsidRPr="00EE1086" w:rsidRDefault="002D423D" w:rsidP="00EE1086">
            <w:pPr>
              <w:widowControl/>
              <w:rPr>
                <w:rFonts w:ascii="Arial" w:eastAsia="Times New Roman" w:hAnsi="Arial" w:cs="Arial"/>
                <w:b/>
                <w:bCs/>
                <w:color w:val="000000"/>
                <w:sz w:val="24"/>
                <w:szCs w:val="24"/>
              </w:rPr>
            </w:pPr>
            <w:r w:rsidRPr="00EE1086">
              <w:rPr>
                <w:rFonts w:ascii="Arial" w:eastAsia="Times New Roman" w:hAnsi="Arial" w:cs="Arial"/>
                <w:b/>
                <w:bCs/>
                <w:color w:val="000000"/>
                <w:sz w:val="24"/>
                <w:szCs w:val="24"/>
              </w:rPr>
              <w:t>Total Revenue and Other Support</w:t>
            </w:r>
          </w:p>
        </w:tc>
        <w:tc>
          <w:tcPr>
            <w:tcW w:w="1980" w:type="dxa"/>
            <w:tcBorders>
              <w:top w:val="single" w:sz="4" w:space="0" w:color="auto"/>
              <w:left w:val="nil"/>
              <w:bottom w:val="double" w:sz="6" w:space="0" w:color="auto"/>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1,266,045 </w:t>
            </w:r>
          </w:p>
        </w:tc>
        <w:tc>
          <w:tcPr>
            <w:tcW w:w="1980" w:type="dxa"/>
            <w:tcBorders>
              <w:top w:val="single" w:sz="4" w:space="0" w:color="auto"/>
              <w:left w:val="nil"/>
              <w:bottom w:val="double" w:sz="6" w:space="0" w:color="auto"/>
              <w:right w:val="nil"/>
            </w:tcBorders>
            <w:shd w:val="clear" w:color="auto" w:fill="auto"/>
            <w:noWrap/>
            <w:vAlign w:val="center"/>
            <w:hideMark/>
          </w:tcPr>
          <w:p w:rsidR="002D423D" w:rsidRPr="00EE1086" w:rsidRDefault="002D423D" w:rsidP="00EE1086">
            <w:pPr>
              <w:widowControl/>
              <w:rPr>
                <w:rFonts w:ascii="Arial" w:eastAsia="Times New Roman" w:hAnsi="Arial" w:cs="Arial"/>
                <w:color w:val="000000"/>
                <w:sz w:val="24"/>
                <w:szCs w:val="24"/>
              </w:rPr>
            </w:pPr>
            <w:r w:rsidRPr="00EE1086">
              <w:rPr>
                <w:rFonts w:ascii="Arial" w:eastAsia="Times New Roman" w:hAnsi="Arial" w:cs="Arial"/>
                <w:color w:val="000000"/>
                <w:sz w:val="24"/>
                <w:szCs w:val="24"/>
              </w:rPr>
              <w:t xml:space="preserve">          1,223,826 </w:t>
            </w:r>
          </w:p>
        </w:tc>
      </w:tr>
    </w:tbl>
    <w:p w:rsidR="00501874" w:rsidRDefault="00501874" w:rsidP="00724E32">
      <w:pPr>
        <w:widowControl/>
        <w:spacing w:before="100" w:beforeAutospacing="1" w:after="100" w:afterAutospacing="1"/>
        <w:outlineLvl w:val="0"/>
      </w:pPr>
    </w:p>
    <w:p w:rsidR="00501874" w:rsidRDefault="0050187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Pr="00870380" w:rsidRDefault="00C460C4" w:rsidP="00C460C4">
      <w:pPr>
        <w:rPr>
          <w:b/>
        </w:rPr>
      </w:pPr>
      <w:r w:rsidRPr="00870380">
        <w:rPr>
          <w:b/>
        </w:rPr>
        <w:t xml:space="preserve">Columbia County Community Healthcare Consortium, Inc. </w:t>
      </w:r>
    </w:p>
    <w:p w:rsidR="00C460C4" w:rsidRDefault="00C460C4" w:rsidP="00C460C4">
      <w:pPr>
        <w:rPr>
          <w:b/>
        </w:rPr>
      </w:pPr>
      <w:r w:rsidRPr="00870380">
        <w:rPr>
          <w:b/>
        </w:rPr>
        <w:t xml:space="preserve">Meeting of the </w:t>
      </w:r>
      <w:r>
        <w:rPr>
          <w:b/>
        </w:rPr>
        <w:t>Executive Committee</w:t>
      </w:r>
    </w:p>
    <w:p w:rsidR="00C460C4" w:rsidRPr="00870380" w:rsidRDefault="00C460C4" w:rsidP="00C460C4">
      <w:pPr>
        <w:rPr>
          <w:b/>
        </w:rPr>
      </w:pPr>
      <w:r>
        <w:rPr>
          <w:b/>
        </w:rPr>
        <w:t>October 26, 2016</w:t>
      </w:r>
    </w:p>
    <w:p w:rsidR="00C460C4" w:rsidRDefault="00C460C4" w:rsidP="00C460C4"/>
    <w:p w:rsidR="00C460C4" w:rsidRPr="00870380" w:rsidRDefault="00C460C4" w:rsidP="00C460C4">
      <w:pPr>
        <w:rPr>
          <w:b/>
          <w:u w:val="single"/>
        </w:rPr>
      </w:pPr>
      <w:r w:rsidRPr="00870380">
        <w:rPr>
          <w:b/>
          <w:u w:val="single"/>
        </w:rPr>
        <w:t>Executive Director’s Report</w:t>
      </w:r>
    </w:p>
    <w:p w:rsidR="00C460C4" w:rsidRDefault="00C460C4" w:rsidP="00C460C4">
      <w:pPr>
        <w:spacing w:before="240"/>
        <w:rPr>
          <w:b/>
        </w:rPr>
      </w:pPr>
      <w:r>
        <w:rPr>
          <w:b/>
        </w:rPr>
        <w:t xml:space="preserve">Board and Community </w:t>
      </w:r>
      <w:r w:rsidRPr="00870380">
        <w:rPr>
          <w:b/>
        </w:rPr>
        <w:t>Relations</w:t>
      </w:r>
    </w:p>
    <w:p w:rsidR="00C460C4" w:rsidRDefault="00C460C4" w:rsidP="00C460C4">
      <w:pPr>
        <w:pStyle w:val="ListParagraph"/>
        <w:numPr>
          <w:ilvl w:val="0"/>
          <w:numId w:val="3"/>
        </w:numPr>
        <w:spacing w:before="120"/>
        <w:contextualSpacing w:val="0"/>
      </w:pPr>
      <w:r>
        <w:t>On October 5</w:t>
      </w:r>
      <w:r w:rsidRPr="00DF4B01">
        <w:rPr>
          <w:vertAlign w:val="superscript"/>
        </w:rPr>
        <w:t>th</w:t>
      </w:r>
      <w:r>
        <w:t xml:space="preserve">, we organized a DSRIP Reporting and Billing Training in Hudson with Lauren Ayers, CFO of the AMCH DSRIP PPS and her colleagues. It was very well attended by multiple network members, including the Department of Human Services, the Mental Health Association, the Department of Health, Twin County Recovery Services, Coarc and Upper Hudson Planned Parenthood. </w:t>
      </w:r>
    </w:p>
    <w:p w:rsidR="00C460C4" w:rsidRDefault="00C460C4" w:rsidP="00C460C4">
      <w:pPr>
        <w:pStyle w:val="ListParagraph"/>
        <w:numPr>
          <w:ilvl w:val="0"/>
          <w:numId w:val="3"/>
        </w:numPr>
        <w:spacing w:before="120"/>
        <w:contextualSpacing w:val="0"/>
      </w:pPr>
      <w:r>
        <w:t>On October 7</w:t>
      </w:r>
      <w:r w:rsidRPr="00FB57CC">
        <w:rPr>
          <w:vertAlign w:val="superscript"/>
        </w:rPr>
        <w:t>th</w:t>
      </w:r>
      <w:r>
        <w:t>, I attended the Key Partner &amp; Media Debrief hosted at Taconic Hills High School by the Mentor Foundation, followed by their Shatter the Myths youth rally.</w:t>
      </w:r>
    </w:p>
    <w:p w:rsidR="00C460C4" w:rsidRDefault="00C460C4" w:rsidP="00C460C4">
      <w:pPr>
        <w:pStyle w:val="ListParagraph"/>
        <w:numPr>
          <w:ilvl w:val="0"/>
          <w:numId w:val="3"/>
        </w:numPr>
        <w:spacing w:before="120"/>
        <w:contextualSpacing w:val="0"/>
      </w:pPr>
      <w:r>
        <w:t>On October 11</w:t>
      </w:r>
      <w:r w:rsidRPr="00FB57CC">
        <w:rPr>
          <w:vertAlign w:val="superscript"/>
        </w:rPr>
        <w:t>th</w:t>
      </w:r>
      <w:r>
        <w:t xml:space="preserve">, I was part of a group assembled by Chairman Murrell to discuss the opiate addiction crisis in Columbia County.  Other network members including the Department of Human Services, the Department of Social Services, and Twin County Recovery Services, were also represented, as was law enforcement (Sheriff’s Office and the Hudson Police Department) and current and former Supervisors. It appears that this working group will continue to meet on a monthly basis.  In the meantime, I will participate in a smaller group for the purposes of drafting a set of recommendations to the Board of Supervisors. </w:t>
      </w:r>
    </w:p>
    <w:p w:rsidR="00C460C4" w:rsidRDefault="00C460C4" w:rsidP="00C460C4">
      <w:pPr>
        <w:pStyle w:val="ListParagraph"/>
        <w:numPr>
          <w:ilvl w:val="0"/>
          <w:numId w:val="3"/>
        </w:numPr>
        <w:spacing w:before="120"/>
        <w:contextualSpacing w:val="0"/>
      </w:pPr>
      <w:r>
        <w:t>On October 11</w:t>
      </w:r>
      <w:r w:rsidRPr="00624002">
        <w:rPr>
          <w:vertAlign w:val="superscript"/>
        </w:rPr>
        <w:t>th</w:t>
      </w:r>
      <w:r>
        <w:t>, I participated in a meeting of the AMCH DSRIP PPS Community and Consumer Affairs Committee in Albany.</w:t>
      </w:r>
    </w:p>
    <w:p w:rsidR="00C460C4" w:rsidRDefault="00C460C4" w:rsidP="00C460C4">
      <w:pPr>
        <w:pStyle w:val="ListParagraph"/>
        <w:numPr>
          <w:ilvl w:val="0"/>
          <w:numId w:val="3"/>
        </w:numPr>
        <w:spacing w:before="120"/>
        <w:contextualSpacing w:val="0"/>
      </w:pPr>
      <w:r>
        <w:t>On October 13</w:t>
      </w:r>
      <w:r w:rsidRPr="006E0B86">
        <w:rPr>
          <w:vertAlign w:val="superscript"/>
        </w:rPr>
        <w:t>th</w:t>
      </w:r>
      <w:r>
        <w:t>, I participated in a meeting of the AMCH DSRIP PPS Community Crisis Stabilization Project Subcommittee in Albany.</w:t>
      </w:r>
    </w:p>
    <w:p w:rsidR="00C460C4" w:rsidRDefault="00C460C4" w:rsidP="00C460C4">
      <w:pPr>
        <w:pStyle w:val="ListParagraph"/>
        <w:numPr>
          <w:ilvl w:val="0"/>
          <w:numId w:val="3"/>
        </w:numPr>
        <w:spacing w:before="120"/>
        <w:contextualSpacing w:val="0"/>
      </w:pPr>
      <w:r>
        <w:t>On October 19</w:t>
      </w:r>
      <w:r w:rsidRPr="006E0B86">
        <w:rPr>
          <w:vertAlign w:val="superscript"/>
        </w:rPr>
        <w:t>th</w:t>
      </w:r>
      <w:r>
        <w:t>, I attended the first meeting of the NYSHealth Foundation’s Community Advisory Board in NYC.  I also attended their 10</w:t>
      </w:r>
      <w:r w:rsidRPr="00DF4B01">
        <w:rPr>
          <w:vertAlign w:val="superscript"/>
        </w:rPr>
        <w:t>th</w:t>
      </w:r>
      <w:r>
        <w:t xml:space="preserve"> anniversary event the following day.  Many good connections made on both days.</w:t>
      </w:r>
    </w:p>
    <w:p w:rsidR="00C460C4" w:rsidRDefault="00C460C4" w:rsidP="00C460C4">
      <w:pPr>
        <w:pStyle w:val="ListParagraph"/>
        <w:numPr>
          <w:ilvl w:val="0"/>
          <w:numId w:val="3"/>
        </w:numPr>
        <w:spacing w:before="120"/>
        <w:contextualSpacing w:val="0"/>
      </w:pPr>
      <w:r>
        <w:t>On October 25</w:t>
      </w:r>
      <w:r w:rsidRPr="006E0B86">
        <w:rPr>
          <w:vertAlign w:val="superscript"/>
        </w:rPr>
        <w:t>th</w:t>
      </w:r>
      <w:r>
        <w:t xml:space="preserve">, I will be speaking to the Age Friendly Berkshires group in Pittsfield, Mass about the Transportation Program. </w:t>
      </w:r>
    </w:p>
    <w:p w:rsidR="00C460C4" w:rsidRDefault="00C460C4" w:rsidP="00C460C4">
      <w:pPr>
        <w:pStyle w:val="ListParagraph"/>
        <w:numPr>
          <w:ilvl w:val="0"/>
          <w:numId w:val="3"/>
        </w:numPr>
        <w:spacing w:before="120"/>
        <w:contextualSpacing w:val="0"/>
      </w:pPr>
      <w:r>
        <w:t>On October 26</w:t>
      </w:r>
      <w:r w:rsidRPr="006E0B86">
        <w:rPr>
          <w:vertAlign w:val="superscript"/>
        </w:rPr>
        <w:t>th</w:t>
      </w:r>
      <w:r>
        <w:t xml:space="preserve">, I will be speaking at </w:t>
      </w:r>
      <w:r w:rsidRPr="00BF7A0D">
        <w:rPr>
          <w:i/>
          <w:iCs/>
        </w:rPr>
        <w:t>Getting There - A Conference on Bridging the Tra</w:t>
      </w:r>
      <w:r>
        <w:rPr>
          <w:i/>
          <w:iCs/>
        </w:rPr>
        <w:t xml:space="preserve">nsportation and Health Care Gap </w:t>
      </w:r>
      <w:r w:rsidRPr="006E0B86">
        <w:rPr>
          <w:iCs/>
        </w:rPr>
        <w:t>about the Transportation Program</w:t>
      </w:r>
      <w:r>
        <w:t>.</w:t>
      </w:r>
    </w:p>
    <w:p w:rsidR="00C460C4" w:rsidRDefault="00C460C4" w:rsidP="00C460C4">
      <w:pPr>
        <w:pStyle w:val="ListParagraph"/>
        <w:numPr>
          <w:ilvl w:val="0"/>
          <w:numId w:val="3"/>
        </w:numPr>
        <w:spacing w:before="120"/>
        <w:contextualSpacing w:val="0"/>
      </w:pPr>
      <w:r>
        <w:t>On October 27</w:t>
      </w:r>
      <w:r w:rsidRPr="006E0B86">
        <w:rPr>
          <w:vertAlign w:val="superscript"/>
        </w:rPr>
        <w:t>th</w:t>
      </w:r>
      <w:r>
        <w:t xml:space="preserve">, I will be addressing the NYS Rural Health Council, a statewide rural health policy council convened by the NYS DOH, at its meeting at Empire State Plaza about the Transportation Program. </w:t>
      </w:r>
    </w:p>
    <w:p w:rsidR="00C460C4" w:rsidRDefault="00C460C4" w:rsidP="00C460C4">
      <w:pPr>
        <w:rPr>
          <w:b/>
        </w:rPr>
      </w:pPr>
    </w:p>
    <w:p w:rsidR="00C460C4" w:rsidRPr="00870380" w:rsidRDefault="00C460C4" w:rsidP="00C460C4">
      <w:pPr>
        <w:spacing w:before="120"/>
        <w:rPr>
          <w:b/>
        </w:rPr>
      </w:pPr>
      <w:r w:rsidRPr="00870380">
        <w:rPr>
          <w:b/>
        </w:rPr>
        <w:t>Strateg</w:t>
      </w:r>
      <w:r>
        <w:rPr>
          <w:b/>
        </w:rPr>
        <w:t>y</w:t>
      </w:r>
      <w:r w:rsidRPr="00870380">
        <w:rPr>
          <w:b/>
        </w:rPr>
        <w:t xml:space="preserve"> &amp; </w:t>
      </w:r>
      <w:r>
        <w:rPr>
          <w:b/>
        </w:rPr>
        <w:t xml:space="preserve">Program </w:t>
      </w:r>
      <w:r w:rsidRPr="00870380">
        <w:rPr>
          <w:b/>
        </w:rPr>
        <w:t>Planning</w:t>
      </w:r>
    </w:p>
    <w:p w:rsidR="00C460C4" w:rsidRPr="00BC6A40" w:rsidRDefault="00C460C4" w:rsidP="00C460C4">
      <w:pPr>
        <w:pStyle w:val="ListParagraph"/>
        <w:numPr>
          <w:ilvl w:val="0"/>
          <w:numId w:val="1"/>
        </w:numPr>
        <w:spacing w:before="120"/>
        <w:contextualSpacing w:val="0"/>
        <w:rPr>
          <w:b/>
        </w:rPr>
      </w:pPr>
      <w:r>
        <w:t>We have been helpful in convening the stakeholders to consider the latest OASAS RFPs, with particular emphasis on the Community Coalition Building RFP.  At the most recent stakeholder meeting, it was agreed that the Consortium would submit an application as the lead agency.</w:t>
      </w:r>
    </w:p>
    <w:p w:rsidR="00C460C4" w:rsidRDefault="00C460C4" w:rsidP="00C460C4">
      <w:pPr>
        <w:spacing w:before="120"/>
        <w:rPr>
          <w:b/>
        </w:rPr>
      </w:pPr>
    </w:p>
    <w:p w:rsidR="00C460C4" w:rsidRDefault="00C460C4" w:rsidP="00C460C4">
      <w:pPr>
        <w:spacing w:before="120"/>
        <w:rPr>
          <w:b/>
        </w:rPr>
      </w:pPr>
    </w:p>
    <w:p w:rsidR="00C460C4" w:rsidRPr="00EF38A5" w:rsidRDefault="00C460C4" w:rsidP="00C460C4">
      <w:pPr>
        <w:spacing w:before="120"/>
        <w:rPr>
          <w:b/>
        </w:rPr>
      </w:pPr>
      <w:r w:rsidRPr="00EF38A5">
        <w:rPr>
          <w:b/>
        </w:rPr>
        <w:t>Resource Development</w:t>
      </w:r>
    </w:p>
    <w:p w:rsidR="00C460C4" w:rsidRDefault="00C460C4" w:rsidP="00C460C4">
      <w:pPr>
        <w:pStyle w:val="ListParagraph"/>
        <w:numPr>
          <w:ilvl w:val="0"/>
          <w:numId w:val="2"/>
        </w:numPr>
        <w:spacing w:before="120"/>
        <w:contextualSpacing w:val="0"/>
      </w:pPr>
      <w:r>
        <w:t xml:space="preserve">We are preparing an application for ongoing financial support for the Prescription Access and Referral Program to the Dyson Foundation, which will be submitted by the end of this week. </w:t>
      </w:r>
    </w:p>
    <w:p w:rsidR="00C460C4" w:rsidRDefault="00C460C4" w:rsidP="00C460C4">
      <w:pPr>
        <w:pStyle w:val="ListParagraph"/>
        <w:numPr>
          <w:ilvl w:val="0"/>
          <w:numId w:val="2"/>
        </w:numPr>
        <w:spacing w:before="120"/>
        <w:contextualSpacing w:val="0"/>
      </w:pPr>
      <w:r>
        <w:t>Unexpectedly, the Foundation for Community Health has indicated that there WILL be funding for transportation available in 2017, and has invited us to submit an application.  This will be accomplished by November 7</w:t>
      </w:r>
      <w:r w:rsidRPr="00624002">
        <w:rPr>
          <w:vertAlign w:val="superscript"/>
        </w:rPr>
        <w:t>th</w:t>
      </w:r>
      <w:r>
        <w:t>.</w:t>
      </w:r>
    </w:p>
    <w:p w:rsidR="00C460C4" w:rsidRDefault="00C460C4" w:rsidP="00C460C4">
      <w:pPr>
        <w:tabs>
          <w:tab w:val="left" w:pos="1365"/>
        </w:tabs>
        <w:rPr>
          <w:b/>
        </w:rPr>
      </w:pPr>
    </w:p>
    <w:p w:rsidR="00C460C4" w:rsidRDefault="00C460C4" w:rsidP="00C460C4">
      <w:pPr>
        <w:tabs>
          <w:tab w:val="left" w:pos="1365"/>
        </w:tabs>
        <w:spacing w:before="120"/>
      </w:pPr>
      <w:r w:rsidRPr="00870380">
        <w:rPr>
          <w:b/>
        </w:rPr>
        <w:t>Fiscal Management</w:t>
      </w:r>
    </w:p>
    <w:p w:rsidR="00C460C4" w:rsidRDefault="00C460C4" w:rsidP="00C460C4">
      <w:pPr>
        <w:pStyle w:val="ListParagraph"/>
        <w:numPr>
          <w:ilvl w:val="0"/>
          <w:numId w:val="4"/>
        </w:numPr>
        <w:spacing w:before="120"/>
        <w:contextualSpacing w:val="0"/>
      </w:pPr>
      <w:r>
        <w:t>Fiscal Manager John Ray has initiated contact with Marvin and Co. to start the conversation and establish target dates for next year’s audit.</w:t>
      </w:r>
    </w:p>
    <w:p w:rsidR="00C460C4" w:rsidRDefault="00C460C4" w:rsidP="00C460C4">
      <w:pPr>
        <w:pStyle w:val="ListParagraph"/>
        <w:numPr>
          <w:ilvl w:val="0"/>
          <w:numId w:val="4"/>
        </w:numPr>
        <w:spacing w:before="120"/>
        <w:contextualSpacing w:val="0"/>
      </w:pPr>
      <w:r>
        <w:t>Earlier this month, we issued an RFP for IT services</w:t>
      </w:r>
      <w:r w:rsidRPr="00255922">
        <w:t>. We have requested a response by</w:t>
      </w:r>
      <w:r>
        <w:t xml:space="preserve"> November 11</w:t>
      </w:r>
      <w:r w:rsidRPr="00255922">
        <w:rPr>
          <w:vertAlign w:val="superscript"/>
        </w:rPr>
        <w:t>th</w:t>
      </w:r>
      <w:r w:rsidRPr="00255922">
        <w:t xml:space="preserve"> and expect to select a vendor by</w:t>
      </w:r>
      <w:r>
        <w:t xml:space="preserve"> December 9</w:t>
      </w:r>
      <w:r w:rsidRPr="00255922">
        <w:rPr>
          <w:vertAlign w:val="superscript"/>
        </w:rPr>
        <w:t>th</w:t>
      </w:r>
      <w:r>
        <w:t xml:space="preserve">. </w:t>
      </w:r>
    </w:p>
    <w:p w:rsidR="00C460C4" w:rsidRDefault="00C460C4" w:rsidP="00C460C4">
      <w:pPr>
        <w:pStyle w:val="ListParagraph"/>
        <w:spacing w:before="120"/>
        <w:ind w:left="360"/>
        <w:contextualSpacing w:val="0"/>
      </w:pPr>
    </w:p>
    <w:p w:rsidR="00C460C4" w:rsidRDefault="00C460C4" w:rsidP="00C460C4">
      <w:pPr>
        <w:spacing w:before="120"/>
        <w:rPr>
          <w:b/>
        </w:rPr>
      </w:pPr>
      <w:r w:rsidRPr="009A7F7F">
        <w:rPr>
          <w:b/>
        </w:rPr>
        <w:t>Personnel</w:t>
      </w:r>
      <w:r>
        <w:rPr>
          <w:b/>
        </w:rPr>
        <w:t xml:space="preserve"> Management</w:t>
      </w:r>
    </w:p>
    <w:p w:rsidR="00C460C4" w:rsidRDefault="00C460C4" w:rsidP="00C460C4">
      <w:pPr>
        <w:pStyle w:val="ListParagraph"/>
        <w:numPr>
          <w:ilvl w:val="0"/>
          <w:numId w:val="4"/>
        </w:numPr>
        <w:spacing w:before="120"/>
        <w:contextualSpacing w:val="0"/>
      </w:pPr>
      <w:r>
        <w:t xml:space="preserve">We have engaged a temporary casual employee through Manpower to assist us in managing Office Reception.  </w:t>
      </w:r>
    </w:p>
    <w:p w:rsidR="00C460C4" w:rsidRDefault="00C460C4" w:rsidP="00C460C4">
      <w:pPr>
        <w:pStyle w:val="ListParagraph"/>
        <w:numPr>
          <w:ilvl w:val="0"/>
          <w:numId w:val="4"/>
        </w:numPr>
        <w:spacing w:before="120"/>
        <w:contextualSpacing w:val="0"/>
      </w:pPr>
      <w:r>
        <w:t>The workplace investigation concerning a driver was resolved satisfactorily.  The driver was suspended for 1 month and will return to work on or after November 1</w:t>
      </w:r>
      <w:r w:rsidRPr="006E0B86">
        <w:rPr>
          <w:vertAlign w:val="superscript"/>
        </w:rPr>
        <w:t>st</w:t>
      </w:r>
      <w:r>
        <w:t>.  Training about creating and maintaining a harassment-free workplace was provided to the drivers on October 12</w:t>
      </w:r>
      <w:r w:rsidRPr="006E0B86">
        <w:rPr>
          <w:vertAlign w:val="superscript"/>
        </w:rPr>
        <w:t>th</w:t>
      </w:r>
      <w:r>
        <w:t>.</w:t>
      </w:r>
    </w:p>
    <w:p w:rsidR="00C460C4" w:rsidRDefault="00C460C4" w:rsidP="00C460C4">
      <w:pPr>
        <w:pStyle w:val="ListParagraph"/>
        <w:numPr>
          <w:ilvl w:val="0"/>
          <w:numId w:val="4"/>
        </w:numPr>
        <w:spacing w:before="120"/>
        <w:contextualSpacing w:val="0"/>
      </w:pPr>
      <w:r>
        <w:t>On October 28</w:t>
      </w:r>
      <w:r w:rsidRPr="006E0B86">
        <w:rPr>
          <w:vertAlign w:val="superscript"/>
        </w:rPr>
        <w:t>th</w:t>
      </w:r>
      <w:r>
        <w:t>, we will be meeting with our broker from Brown and Brown to discuss health insurance options for 2017.</w:t>
      </w:r>
    </w:p>
    <w:p w:rsidR="00C460C4" w:rsidRDefault="00C460C4" w:rsidP="00C460C4">
      <w:pPr>
        <w:pStyle w:val="ListParagraph"/>
        <w:numPr>
          <w:ilvl w:val="0"/>
          <w:numId w:val="4"/>
        </w:numPr>
        <w:spacing w:before="120"/>
        <w:contextualSpacing w:val="0"/>
      </w:pPr>
      <w:r>
        <w:t xml:space="preserve">We are sad to report that Transportation Program Driver Donald (“Danny”) Yakman passed away from a heart attack following a lengthy surgery last week. </w:t>
      </w:r>
    </w:p>
    <w:p w:rsidR="00C460C4" w:rsidRDefault="00C460C4" w:rsidP="00C460C4"/>
    <w:p w:rsidR="00C460C4" w:rsidRDefault="00C460C4" w:rsidP="00C460C4"/>
    <w:p w:rsidR="00C460C4" w:rsidRDefault="00C460C4" w:rsidP="00C460C4">
      <w:pPr>
        <w:spacing w:before="120"/>
        <w:rPr>
          <w:b/>
        </w:rPr>
      </w:pPr>
      <w:r w:rsidRPr="00001559">
        <w:rPr>
          <w:b/>
        </w:rPr>
        <w:t>Upcoming events</w:t>
      </w:r>
    </w:p>
    <w:p w:rsidR="00C460C4" w:rsidRPr="006E0B86" w:rsidRDefault="00C460C4" w:rsidP="00C460C4">
      <w:pPr>
        <w:pStyle w:val="ListParagraph"/>
        <w:numPr>
          <w:ilvl w:val="0"/>
          <w:numId w:val="6"/>
        </w:numPr>
        <w:spacing w:before="120"/>
        <w:contextualSpacing w:val="0"/>
      </w:pPr>
      <w:r w:rsidRPr="006E0B86">
        <w:t>Capital Region Planning Consortium meeting, Monday, October 31</w:t>
      </w:r>
      <w:r w:rsidRPr="006E0B86">
        <w:rPr>
          <w:vertAlign w:val="superscript"/>
        </w:rPr>
        <w:t>st</w:t>
      </w:r>
      <w:r w:rsidRPr="006E0B86">
        <w:t xml:space="preserve"> in Albany</w:t>
      </w:r>
    </w:p>
    <w:p w:rsidR="00C460C4" w:rsidRPr="006E0B86" w:rsidRDefault="00C460C4" w:rsidP="00C460C4">
      <w:pPr>
        <w:pStyle w:val="ListParagraph"/>
        <w:numPr>
          <w:ilvl w:val="0"/>
          <w:numId w:val="6"/>
        </w:numPr>
        <w:spacing w:before="120"/>
        <w:contextualSpacing w:val="0"/>
      </w:pPr>
      <w:r w:rsidRPr="006E0B86">
        <w:t>Collaboration for Results: The Principles and Practices of Collective Impact, November 3</w:t>
      </w:r>
      <w:r w:rsidRPr="006E0B86">
        <w:rPr>
          <w:vertAlign w:val="superscript"/>
        </w:rPr>
        <w:t>rd</w:t>
      </w:r>
      <w:r w:rsidRPr="006E0B86">
        <w:t xml:space="preserve"> in Great Barrington, MA</w:t>
      </w:r>
    </w:p>
    <w:p w:rsidR="00C460C4" w:rsidRPr="006E0B86" w:rsidRDefault="00C460C4" w:rsidP="00C460C4">
      <w:pPr>
        <w:pStyle w:val="ListParagraph"/>
        <w:numPr>
          <w:ilvl w:val="0"/>
          <w:numId w:val="6"/>
        </w:numPr>
        <w:spacing w:before="120"/>
        <w:contextualSpacing w:val="0"/>
      </w:pPr>
      <w:r w:rsidRPr="006E0B86">
        <w:t xml:space="preserve">Grant writing workshop for Consortium and DHS employees, </w:t>
      </w:r>
      <w:r>
        <w:t>November</w:t>
      </w:r>
      <w:r w:rsidRPr="006E0B86">
        <w:t xml:space="preserve"> 4</w:t>
      </w:r>
      <w:r w:rsidRPr="006E0B86">
        <w:rPr>
          <w:vertAlign w:val="superscript"/>
        </w:rPr>
        <w:t>th</w:t>
      </w:r>
      <w:r w:rsidRPr="006E0B86">
        <w:t>, Hudson</w:t>
      </w:r>
    </w:p>
    <w:p w:rsidR="00C460C4" w:rsidRDefault="00C460C4" w:rsidP="00C460C4">
      <w:pPr>
        <w:spacing w:before="120"/>
      </w:pPr>
      <w:bookmarkStart w:id="0" w:name="_GoBack"/>
      <w:bookmarkEnd w:id="0"/>
    </w:p>
    <w:p w:rsidR="00C460C4" w:rsidRPr="00712812" w:rsidRDefault="00C460C4" w:rsidP="00C460C4">
      <w:pPr>
        <w:spacing w:before="120"/>
        <w:rPr>
          <w:i/>
        </w:rPr>
      </w:pPr>
      <w:r w:rsidRPr="00712812">
        <w:rPr>
          <w:i/>
        </w:rPr>
        <w:t>Prepared and respectfully submitted by Claire Parde on Monday, October 24, 2016</w:t>
      </w:r>
    </w:p>
    <w:p w:rsidR="00C460C4" w:rsidRDefault="00C460C4"/>
    <w:sectPr w:rsidR="00C460C4" w:rsidSect="00B770A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17501B"/>
    <w:rsid w:val="00191FE7"/>
    <w:rsid w:val="002D423D"/>
    <w:rsid w:val="0036512F"/>
    <w:rsid w:val="004207AD"/>
    <w:rsid w:val="00474074"/>
    <w:rsid w:val="004A56C5"/>
    <w:rsid w:val="004E7258"/>
    <w:rsid w:val="00501874"/>
    <w:rsid w:val="00664E57"/>
    <w:rsid w:val="006D030C"/>
    <w:rsid w:val="006F0FE0"/>
    <w:rsid w:val="00716601"/>
    <w:rsid w:val="00724E32"/>
    <w:rsid w:val="00801775"/>
    <w:rsid w:val="008B5C76"/>
    <w:rsid w:val="00A606EC"/>
    <w:rsid w:val="00B24D27"/>
    <w:rsid w:val="00B770A1"/>
    <w:rsid w:val="00C460C4"/>
    <w:rsid w:val="00C922E6"/>
    <w:rsid w:val="00D47589"/>
    <w:rsid w:val="00E6731B"/>
    <w:rsid w:val="00EB6B51"/>
    <w:rsid w:val="00EE1086"/>
    <w:rsid w:val="00F5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Executive%20Committe%20Fiscal%20Highlights%2010-25-2016%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Executive%20Committe%20Fiscal%20Highlights%2010-25-2016%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384946236559138"/>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196136987301372E-2"/>
          <c:y val="0.1105062357401403"/>
          <c:w val="0.89711102890662153"/>
          <c:h val="0.72751065438854046"/>
        </c:manualLayout>
      </c:layout>
      <c:lineChart>
        <c:grouping val="standard"/>
        <c:varyColors val="0"/>
        <c:ser>
          <c:idx val="0"/>
          <c:order val="0"/>
          <c:tx>
            <c:strRef>
              <c:f>Data!$B$3</c:f>
              <c:strCache>
                <c:ptCount val="1"/>
                <c:pt idx="0">
                  <c:v>Balance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Data!$A$4:$A$216</c:f>
              <c:numCache>
                <c:formatCode>m/d/yyyy</c:formatCode>
                <c:ptCount val="213"/>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formatCode="[$-F800]dddd\,\ mmmm\ dd\,\ yyyy">
                  <c:v>42544</c:v>
                </c:pt>
                <c:pt idx="125" formatCode="[$-F800]dddd\,\ mmmm\ dd\,\ yyyy">
                  <c:v>42545</c:v>
                </c:pt>
                <c:pt idx="126" formatCode="[$-F800]dddd\,\ mmmm\ dd\,\ yyyy">
                  <c:v>42548</c:v>
                </c:pt>
                <c:pt idx="127" formatCode="[$-F800]dddd\,\ mmmm\ dd\,\ yyyy">
                  <c:v>42549</c:v>
                </c:pt>
                <c:pt idx="128" formatCode="[$-F800]dddd\,\ mmmm\ dd\,\ yyyy">
                  <c:v>42550</c:v>
                </c:pt>
                <c:pt idx="129" formatCode="[$-F800]dddd\,\ mmmm\ dd\,\ yyyy">
                  <c:v>42551</c:v>
                </c:pt>
                <c:pt idx="130" formatCode="[$-F800]dddd\,\ mmmm\ dd\,\ yyyy">
                  <c:v>42552</c:v>
                </c:pt>
                <c:pt idx="131" formatCode="[$-F800]dddd\,\ mmmm\ dd\,\ yyyy">
                  <c:v>42555</c:v>
                </c:pt>
                <c:pt idx="132" formatCode="[$-F800]dddd\,\ mmmm\ dd\,\ yyyy">
                  <c:v>42556</c:v>
                </c:pt>
                <c:pt idx="133" formatCode="[$-F800]dddd\,\ mmmm\ dd\,\ yyyy">
                  <c:v>42557</c:v>
                </c:pt>
                <c:pt idx="134" formatCode="[$-F800]dddd\,\ mmmm\ dd\,\ yyyy">
                  <c:v>42558</c:v>
                </c:pt>
                <c:pt idx="135" formatCode="[$-F800]dddd\,\ mmmm\ dd\,\ yyyy">
                  <c:v>42559</c:v>
                </c:pt>
                <c:pt idx="136" formatCode="[$-F800]dddd\,\ mmmm\ dd\,\ yyyy">
                  <c:v>42562</c:v>
                </c:pt>
                <c:pt idx="137" formatCode="[$-F800]dddd\,\ mmmm\ dd\,\ yyyy">
                  <c:v>42563</c:v>
                </c:pt>
                <c:pt idx="138" formatCode="[$-F800]dddd\,\ mmmm\ dd\,\ yyyy">
                  <c:v>42564</c:v>
                </c:pt>
                <c:pt idx="139" formatCode="[$-F800]dddd\,\ mmmm\ dd\,\ yyyy">
                  <c:v>42565</c:v>
                </c:pt>
                <c:pt idx="140" formatCode="[$-F800]dddd\,\ mmmm\ dd\,\ yyyy">
                  <c:v>42566</c:v>
                </c:pt>
                <c:pt idx="141" formatCode="[$-F800]dddd\,\ mmmm\ dd\,\ yyyy">
                  <c:v>42569</c:v>
                </c:pt>
                <c:pt idx="142" formatCode="[$-F800]dddd\,\ mmmm\ dd\,\ yyyy">
                  <c:v>42570</c:v>
                </c:pt>
                <c:pt idx="143" formatCode="[$-F800]dddd\,\ mmmm\ dd\,\ yyyy">
                  <c:v>42571</c:v>
                </c:pt>
                <c:pt idx="144" formatCode="[$-F800]dddd\,\ mmmm\ dd\,\ yyyy">
                  <c:v>42572</c:v>
                </c:pt>
                <c:pt idx="145" formatCode="[$-F800]dddd\,\ mmmm\ dd\,\ yyyy">
                  <c:v>42573</c:v>
                </c:pt>
                <c:pt idx="146" formatCode="[$-F800]dddd\,\ mmmm\ dd\,\ yyyy">
                  <c:v>42576</c:v>
                </c:pt>
                <c:pt idx="147" formatCode="[$-F800]dddd\,\ mmmm\ dd\,\ yyyy">
                  <c:v>42577</c:v>
                </c:pt>
                <c:pt idx="148" formatCode="[$-F800]dddd\,\ mmmm\ dd\,\ yyyy">
                  <c:v>42578</c:v>
                </c:pt>
                <c:pt idx="149" formatCode="[$-F800]dddd\,\ mmmm\ dd\,\ yyyy">
                  <c:v>42579</c:v>
                </c:pt>
                <c:pt idx="150" formatCode="[$-F800]dddd\,\ mmmm\ dd\,\ yyyy">
                  <c:v>42580</c:v>
                </c:pt>
                <c:pt idx="151" formatCode="[$-F800]dddd\,\ mmmm\ dd\,\ yyyy">
                  <c:v>42583</c:v>
                </c:pt>
                <c:pt idx="152" formatCode="[$-F800]dddd\,\ mmmm\ dd\,\ yyyy">
                  <c:v>42584</c:v>
                </c:pt>
                <c:pt idx="153" formatCode="[$-F800]dddd\,\ mmmm\ dd\,\ yyyy">
                  <c:v>42585</c:v>
                </c:pt>
                <c:pt idx="154" formatCode="[$-F800]dddd\,\ mmmm\ dd\,\ yyyy">
                  <c:v>42586</c:v>
                </c:pt>
                <c:pt idx="155" formatCode="[$-F800]dddd\,\ mmmm\ dd\,\ yyyy">
                  <c:v>42587</c:v>
                </c:pt>
                <c:pt idx="156" formatCode="[$-F800]dddd\,\ mmmm\ dd\,\ yyyy">
                  <c:v>42590</c:v>
                </c:pt>
                <c:pt idx="157" formatCode="[$-F800]dddd\,\ mmmm\ dd\,\ yyyy">
                  <c:v>42591</c:v>
                </c:pt>
                <c:pt idx="158" formatCode="[$-F800]dddd\,\ mmmm\ dd\,\ yyyy">
                  <c:v>42592</c:v>
                </c:pt>
                <c:pt idx="159" formatCode="[$-F800]dddd\,\ mmmm\ dd\,\ yyyy">
                  <c:v>42593</c:v>
                </c:pt>
                <c:pt idx="160" formatCode="[$-F800]dddd\,\ mmmm\ dd\,\ yyyy">
                  <c:v>42594</c:v>
                </c:pt>
                <c:pt idx="161" formatCode="[$-F800]dddd\,\ mmmm\ dd\,\ yyyy">
                  <c:v>42597</c:v>
                </c:pt>
                <c:pt idx="162" formatCode="[$-F800]dddd\,\ mmmm\ dd\,\ yyyy">
                  <c:v>42598</c:v>
                </c:pt>
                <c:pt idx="163" formatCode="[$-F800]dddd\,\ mmmm\ dd\,\ yyyy">
                  <c:v>42599</c:v>
                </c:pt>
                <c:pt idx="164" formatCode="[$-F800]dddd\,\ mmmm\ dd\,\ yyyy">
                  <c:v>42600</c:v>
                </c:pt>
                <c:pt idx="165" formatCode="[$-F800]dddd\,\ mmmm\ dd\,\ yyyy">
                  <c:v>42601</c:v>
                </c:pt>
                <c:pt idx="166" formatCode="[$-F800]dddd\,\ mmmm\ dd\,\ yyyy">
                  <c:v>42604</c:v>
                </c:pt>
                <c:pt idx="167" formatCode="[$-F800]dddd\,\ mmmm\ dd\,\ yyyy">
                  <c:v>42605</c:v>
                </c:pt>
                <c:pt idx="168" formatCode="[$-F800]dddd\,\ mmmm\ dd\,\ yyyy">
                  <c:v>42606</c:v>
                </c:pt>
                <c:pt idx="169" formatCode="[$-F800]dddd\,\ mmmm\ dd\,\ yyyy">
                  <c:v>42607</c:v>
                </c:pt>
                <c:pt idx="170" formatCode="[$-F800]dddd\,\ mmmm\ dd\,\ yyyy">
                  <c:v>42608</c:v>
                </c:pt>
                <c:pt idx="171" formatCode="[$-F800]dddd\,\ mmmm\ dd\,\ yyyy">
                  <c:v>42611</c:v>
                </c:pt>
                <c:pt idx="172" formatCode="[$-F800]dddd\,\ mmmm\ dd\,\ yyyy">
                  <c:v>42612</c:v>
                </c:pt>
                <c:pt idx="173" formatCode="[$-F800]dddd\,\ mmmm\ dd\,\ yyyy">
                  <c:v>42613</c:v>
                </c:pt>
                <c:pt idx="174" formatCode="[$-F800]dddd\,\ mmmm\ dd\,\ yyyy">
                  <c:v>42614</c:v>
                </c:pt>
                <c:pt idx="175" formatCode="[$-F800]dddd\,\ mmmm\ dd\,\ yyyy">
                  <c:v>42615</c:v>
                </c:pt>
                <c:pt idx="176" formatCode="[$-F800]dddd\,\ mmmm\ dd\,\ yyyy">
                  <c:v>42618</c:v>
                </c:pt>
                <c:pt idx="177" formatCode="[$-F800]dddd\,\ mmmm\ dd\,\ yyyy">
                  <c:v>42619</c:v>
                </c:pt>
                <c:pt idx="178" formatCode="[$-F800]dddd\,\ mmmm\ dd\,\ yyyy">
                  <c:v>42620</c:v>
                </c:pt>
                <c:pt idx="179" formatCode="[$-F800]dddd\,\ mmmm\ dd\,\ yyyy">
                  <c:v>42621</c:v>
                </c:pt>
                <c:pt idx="180" formatCode="[$-F800]dddd\,\ mmmm\ dd\,\ yyyy">
                  <c:v>42622</c:v>
                </c:pt>
                <c:pt idx="181" formatCode="[$-F800]dddd\,\ mmmm\ dd\,\ yyyy">
                  <c:v>42625</c:v>
                </c:pt>
                <c:pt idx="182" formatCode="[$-F800]dddd\,\ mmmm\ dd\,\ yyyy">
                  <c:v>42626</c:v>
                </c:pt>
                <c:pt idx="183" formatCode="[$-F800]dddd\,\ mmmm\ dd\,\ yyyy">
                  <c:v>42627</c:v>
                </c:pt>
                <c:pt idx="184" formatCode="[$-F800]dddd\,\ mmmm\ dd\,\ yyyy">
                  <c:v>42628</c:v>
                </c:pt>
                <c:pt idx="185" formatCode="[$-F800]dddd\,\ mmmm\ dd\,\ yyyy">
                  <c:v>42629</c:v>
                </c:pt>
                <c:pt idx="186" formatCode="[$-F800]dddd\,\ mmmm\ dd\,\ yyyy">
                  <c:v>42632</c:v>
                </c:pt>
                <c:pt idx="187" formatCode="[$-F800]dddd\,\ mmmm\ dd\,\ yyyy">
                  <c:v>42633</c:v>
                </c:pt>
                <c:pt idx="188" formatCode="[$-F800]dddd\,\ mmmm\ dd\,\ yyyy">
                  <c:v>42634</c:v>
                </c:pt>
                <c:pt idx="189" formatCode="[$-F800]dddd\,\ mmmm\ dd\,\ yyyy">
                  <c:v>42635</c:v>
                </c:pt>
                <c:pt idx="190" formatCode="[$-F800]dddd\,\ mmmm\ dd\,\ yyyy">
                  <c:v>42636</c:v>
                </c:pt>
                <c:pt idx="191" formatCode="[$-F800]dddd\,\ mmmm\ dd\,\ yyyy">
                  <c:v>42639</c:v>
                </c:pt>
                <c:pt idx="192" formatCode="[$-F800]dddd\,\ mmmm\ dd\,\ yyyy">
                  <c:v>42640</c:v>
                </c:pt>
                <c:pt idx="193" formatCode="[$-F800]dddd\,\ mmmm\ dd\,\ yyyy">
                  <c:v>42641</c:v>
                </c:pt>
                <c:pt idx="194" formatCode="[$-F800]dddd\,\ mmmm\ dd\,\ yyyy">
                  <c:v>42642</c:v>
                </c:pt>
                <c:pt idx="195" formatCode="[$-F800]dddd\,\ mmmm\ dd\,\ yyyy">
                  <c:v>42643</c:v>
                </c:pt>
                <c:pt idx="196" formatCode="[$-F800]dddd\,\ mmmm\ dd\,\ yyyy">
                  <c:v>42646</c:v>
                </c:pt>
                <c:pt idx="197" formatCode="[$-F800]dddd\,\ mmmm\ dd\,\ yyyy">
                  <c:v>42647</c:v>
                </c:pt>
                <c:pt idx="198" formatCode="[$-F800]dddd\,\ mmmm\ dd\,\ yyyy">
                  <c:v>42648</c:v>
                </c:pt>
                <c:pt idx="199" formatCode="[$-F800]dddd\,\ mmmm\ dd\,\ yyyy">
                  <c:v>42649</c:v>
                </c:pt>
                <c:pt idx="200" formatCode="[$-F800]dddd\,\ mmmm\ dd\,\ yyyy">
                  <c:v>42650</c:v>
                </c:pt>
                <c:pt idx="201" formatCode="[$-F800]dddd\,\ mmmm\ dd\,\ yyyy">
                  <c:v>42653</c:v>
                </c:pt>
                <c:pt idx="202" formatCode="[$-F800]dddd\,\ mmmm\ dd\,\ yyyy">
                  <c:v>42654</c:v>
                </c:pt>
                <c:pt idx="203" formatCode="[$-F800]dddd\,\ mmmm\ dd\,\ yyyy">
                  <c:v>42655</c:v>
                </c:pt>
                <c:pt idx="204" formatCode="[$-F800]dddd\,\ mmmm\ dd\,\ yyyy">
                  <c:v>42656</c:v>
                </c:pt>
                <c:pt idx="205" formatCode="[$-F800]dddd\,\ mmmm\ dd\,\ yyyy">
                  <c:v>42657</c:v>
                </c:pt>
                <c:pt idx="206" formatCode="[$-F800]dddd\,\ mmmm\ dd\,\ yyyy">
                  <c:v>42660</c:v>
                </c:pt>
                <c:pt idx="207" formatCode="[$-F800]dddd\,\ mmmm\ dd\,\ yyyy">
                  <c:v>42661</c:v>
                </c:pt>
                <c:pt idx="208" formatCode="[$-F800]dddd\,\ mmmm\ dd\,\ yyyy">
                  <c:v>42662</c:v>
                </c:pt>
                <c:pt idx="209" formatCode="[$-F800]dddd\,\ mmmm\ dd\,\ yyyy">
                  <c:v>42663</c:v>
                </c:pt>
                <c:pt idx="210" formatCode="[$-F800]dddd\,\ mmmm\ dd\,\ yyyy">
                  <c:v>42664</c:v>
                </c:pt>
                <c:pt idx="211" formatCode="[$-F800]dddd\,\ mmmm\ dd\,\ yyyy">
                  <c:v>42667</c:v>
                </c:pt>
                <c:pt idx="212" formatCode="[$-F800]dddd\,\ mmmm\ dd\,\ yyyy">
                  <c:v>42668</c:v>
                </c:pt>
              </c:numCache>
            </c:numRef>
          </c:cat>
          <c:val>
            <c:numRef>
              <c:f>Data!$B$4:$B$216</c:f>
              <c:numCache>
                <c:formatCode>#,##0_);[Red]\(#,##0\)</c:formatCode>
                <c:ptCount val="213"/>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pt idx="169">
                  <c:v>359591.19</c:v>
                </c:pt>
                <c:pt idx="170">
                  <c:v>399163.14</c:v>
                </c:pt>
                <c:pt idx="171">
                  <c:v>407196.62</c:v>
                </c:pt>
                <c:pt idx="172">
                  <c:v>422526.97</c:v>
                </c:pt>
                <c:pt idx="173">
                  <c:v>479216.05</c:v>
                </c:pt>
                <c:pt idx="174">
                  <c:v>479216</c:v>
                </c:pt>
                <c:pt idx="175">
                  <c:v>479216</c:v>
                </c:pt>
                <c:pt idx="176">
                  <c:v>479216</c:v>
                </c:pt>
                <c:pt idx="177">
                  <c:v>440784.82</c:v>
                </c:pt>
                <c:pt idx="178">
                  <c:v>440785</c:v>
                </c:pt>
                <c:pt idx="179">
                  <c:v>445373.31</c:v>
                </c:pt>
                <c:pt idx="180">
                  <c:v>463896.46</c:v>
                </c:pt>
                <c:pt idx="181">
                  <c:v>463296.46</c:v>
                </c:pt>
                <c:pt idx="182">
                  <c:v>465024.54</c:v>
                </c:pt>
                <c:pt idx="183">
                  <c:v>465025</c:v>
                </c:pt>
                <c:pt idx="184">
                  <c:v>447444.34</c:v>
                </c:pt>
                <c:pt idx="185">
                  <c:v>451135.42</c:v>
                </c:pt>
                <c:pt idx="186">
                  <c:v>413924.51</c:v>
                </c:pt>
                <c:pt idx="187">
                  <c:v>395080.96000000002</c:v>
                </c:pt>
                <c:pt idx="188">
                  <c:v>393852.1</c:v>
                </c:pt>
                <c:pt idx="189">
                  <c:v>397757.18</c:v>
                </c:pt>
                <c:pt idx="190">
                  <c:v>397757</c:v>
                </c:pt>
                <c:pt idx="191">
                  <c:v>397757</c:v>
                </c:pt>
                <c:pt idx="192">
                  <c:v>403105.59</c:v>
                </c:pt>
                <c:pt idx="193">
                  <c:v>394170.51</c:v>
                </c:pt>
                <c:pt idx="194">
                  <c:v>397917.56</c:v>
                </c:pt>
                <c:pt idx="195">
                  <c:v>397918</c:v>
                </c:pt>
                <c:pt idx="196">
                  <c:v>361701.8</c:v>
                </c:pt>
                <c:pt idx="197">
                  <c:v>362031.95</c:v>
                </c:pt>
                <c:pt idx="198">
                  <c:v>362032</c:v>
                </c:pt>
                <c:pt idx="199">
                  <c:v>360433.13</c:v>
                </c:pt>
                <c:pt idx="200">
                  <c:v>361754.66</c:v>
                </c:pt>
                <c:pt idx="201">
                  <c:v>361755</c:v>
                </c:pt>
                <c:pt idx="202">
                  <c:v>361755</c:v>
                </c:pt>
                <c:pt idx="203">
                  <c:v>365429.62</c:v>
                </c:pt>
                <c:pt idx="204">
                  <c:v>375400.83</c:v>
                </c:pt>
                <c:pt idx="205">
                  <c:v>375484.03</c:v>
                </c:pt>
                <c:pt idx="206">
                  <c:v>339702.96</c:v>
                </c:pt>
                <c:pt idx="207">
                  <c:v>343741.39</c:v>
                </c:pt>
                <c:pt idx="208">
                  <c:v>343741</c:v>
                </c:pt>
                <c:pt idx="209">
                  <c:v>332267.31</c:v>
                </c:pt>
                <c:pt idx="210">
                  <c:v>332482.06</c:v>
                </c:pt>
                <c:pt idx="211">
                  <c:v>332482</c:v>
                </c:pt>
                <c:pt idx="212">
                  <c:v>337085.39</c:v>
                </c:pt>
              </c:numCache>
            </c:numRef>
          </c:val>
          <c:smooth val="0"/>
        </c:ser>
        <c:dLbls>
          <c:showLegendKey val="0"/>
          <c:showVal val="0"/>
          <c:showCatName val="0"/>
          <c:showSerName val="0"/>
          <c:showPercent val="0"/>
          <c:showBubbleSize val="0"/>
        </c:dLbls>
        <c:smooth val="0"/>
        <c:axId val="296972368"/>
        <c:axId val="391011928"/>
      </c:lineChart>
      <c:dateAx>
        <c:axId val="2969723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011928"/>
        <c:crosses val="autoZero"/>
        <c:auto val="1"/>
        <c:lblOffset val="100"/>
        <c:baseTimeUnit val="days"/>
      </c:dateAx>
      <c:valAx>
        <c:axId val="391011928"/>
        <c:scaling>
          <c:orientation val="minMax"/>
        </c:scaling>
        <c:delete val="0"/>
        <c:axPos val="l"/>
        <c:majorGridlines>
          <c:spPr>
            <a:ln w="9525" cap="flat" cmpd="sng" algn="ctr">
              <a:solidFill>
                <a:schemeClr val="accent1"/>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72368"/>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'Fiscal Highlights'!$V$45:$V$71</c:f>
              <c:numCache>
                <c:formatCode>General</c:formatCode>
                <c:ptCount val="27"/>
                <c:pt idx="6" formatCode="mmm\-yy">
                  <c:v>42217</c:v>
                </c:pt>
                <c:pt idx="7" formatCode="mmm\-yy">
                  <c:v>42248</c:v>
                </c:pt>
                <c:pt idx="9" formatCode="mmm\-yy">
                  <c:v>42278</c:v>
                </c:pt>
                <c:pt idx="10" formatCode="mmm\-yy">
                  <c:v>42309</c:v>
                </c:pt>
                <c:pt idx="11" formatCode="mmm\-yy">
                  <c:v>42339</c:v>
                </c:pt>
                <c:pt idx="12" formatCode="mmm\-yy">
                  <c:v>42370</c:v>
                </c:pt>
                <c:pt idx="13" formatCode="mmm\-yy">
                  <c:v>42401</c:v>
                </c:pt>
                <c:pt idx="14" formatCode="mmm\-yy">
                  <c:v>42430</c:v>
                </c:pt>
                <c:pt idx="15" formatCode="mmm\-yy">
                  <c:v>42461</c:v>
                </c:pt>
                <c:pt idx="16" formatCode="mmm\-yy">
                  <c:v>42491</c:v>
                </c:pt>
                <c:pt idx="17" formatCode="mmm\-yy">
                  <c:v>42551</c:v>
                </c:pt>
                <c:pt idx="18" formatCode="mmm\-yy">
                  <c:v>42582</c:v>
                </c:pt>
                <c:pt idx="19" formatCode="mmm\-yy">
                  <c:v>42583</c:v>
                </c:pt>
                <c:pt idx="20" formatCode="mmm\-yy">
                  <c:v>42614</c:v>
                </c:pt>
              </c:numCache>
            </c:numRef>
          </c:cat>
          <c:val>
            <c:numRef>
              <c:f>'Fiscal Highlights'!$W$45:$W$71</c:f>
              <c:numCache>
                <c:formatCode>General</c:formatCode>
                <c:ptCount val="27"/>
                <c:pt idx="6" formatCode="&quot;$&quot;#,##0_);[Red]\(&quot;$&quot;#,##0\)">
                  <c:v>147240.4</c:v>
                </c:pt>
                <c:pt idx="7" formatCode="&quot;$&quot;#,##0_);[Red]\(&quot;$&quot;#,##0\)">
                  <c:v>156700</c:v>
                </c:pt>
                <c:pt idx="9" formatCode="&quot;$&quot;#,##0_);[Red]\(&quot;$&quot;#,##0\)">
                  <c:v>224005.57</c:v>
                </c:pt>
                <c:pt idx="10" formatCode="&quot;$&quot;#,##0_);[Red]\(&quot;$&quot;#,##0\)">
                  <c:v>212998.66</c:v>
                </c:pt>
                <c:pt idx="11" formatCode="&quot;$&quot;#,##0_);[Red]\(&quot;$&quot;#,##0\)">
                  <c:v>256955.64</c:v>
                </c:pt>
                <c:pt idx="12" formatCode="&quot;$&quot;#,##0_);[Red]\(&quot;$&quot;#,##0\)">
                  <c:v>368765.26</c:v>
                </c:pt>
                <c:pt idx="13" formatCode="&quot;$&quot;#,##0_);[Red]\(&quot;$&quot;#,##0\)">
                  <c:v>294586.56</c:v>
                </c:pt>
                <c:pt idx="14" formatCode="&quot;$&quot;#,##0_);[Red]\(&quot;$&quot;#,##0\)">
                  <c:v>253840.62</c:v>
                </c:pt>
                <c:pt idx="15" formatCode="&quot;$&quot;#,##0_);[Red]\(&quot;$&quot;#,##0\)">
                  <c:v>293601.03999999998</c:v>
                </c:pt>
                <c:pt idx="16" formatCode="&quot;$&quot;#,##0_);[Red]\(&quot;$&quot;#,##0\)">
                  <c:v>333425.09999999998</c:v>
                </c:pt>
                <c:pt idx="17" formatCode="&quot;$&quot;#,##0_);[Red]\(&quot;$&quot;#,##0\)">
                  <c:v>376855.16</c:v>
                </c:pt>
                <c:pt idx="18" formatCode="&quot;$&quot;#,##0_);[Red]\(&quot;$&quot;#,##0\)">
                  <c:v>285263.78999999998</c:v>
                </c:pt>
                <c:pt idx="19" formatCode="&quot;$&quot;#,##0_);[Red]\(&quot;$&quot;#,##0\)">
                  <c:v>182437.83</c:v>
                </c:pt>
                <c:pt idx="20" formatCode="&quot;$&quot;#,##0_);[Red]\(&quot;$&quot;#,##0\)">
                  <c:v>229122.82</c:v>
                </c:pt>
              </c:numCache>
            </c:numRef>
          </c:val>
        </c:ser>
        <c:dLbls>
          <c:showLegendKey val="0"/>
          <c:showVal val="0"/>
          <c:showCatName val="0"/>
          <c:showSerName val="0"/>
          <c:showPercent val="0"/>
          <c:showBubbleSize val="0"/>
        </c:dLbls>
        <c:gapWidth val="219"/>
        <c:overlap val="-27"/>
        <c:axId val="361322688"/>
        <c:axId val="361322296"/>
      </c:barChart>
      <c:dateAx>
        <c:axId val="361322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322296"/>
        <c:crosses val="autoZero"/>
        <c:auto val="1"/>
        <c:lblOffset val="100"/>
        <c:baseTimeUnit val="months"/>
      </c:dateAx>
      <c:valAx>
        <c:axId val="36132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32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6</cp:revision>
  <dcterms:created xsi:type="dcterms:W3CDTF">2016-10-27T17:48:00Z</dcterms:created>
  <dcterms:modified xsi:type="dcterms:W3CDTF">2016-11-14T14:54:00Z</dcterms:modified>
</cp:coreProperties>
</file>