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1E0050" w:rsidRDefault="006D2E29" w:rsidP="001E0050">
      <w:pPr>
        <w:ind w:left="-1440" w:right="-1440"/>
        <w:jc w:val="center"/>
        <w:rPr>
          <w:b/>
        </w:rPr>
      </w:pPr>
      <w:r w:rsidRPr="001E0050">
        <w:rPr>
          <w:b/>
        </w:rPr>
        <w:t xml:space="preserve">COLUMBIA COUNTY </w:t>
      </w:r>
      <w:r w:rsidR="00D81AA6">
        <w:rPr>
          <w:b/>
        </w:rPr>
        <w:t xml:space="preserve">COMMUNITY </w:t>
      </w:r>
      <w:r w:rsidRPr="001E0050">
        <w:rPr>
          <w:b/>
        </w:rPr>
        <w:t>HEALTHCARE CONSORTIUM</w:t>
      </w:r>
      <w:r w:rsidR="00D81AA6">
        <w:rPr>
          <w:b/>
        </w:rPr>
        <w:t>. INC.</w:t>
      </w:r>
    </w:p>
    <w:p w:rsidR="006D2E29" w:rsidRPr="001E0050" w:rsidRDefault="006D2E29" w:rsidP="001E0050">
      <w:pPr>
        <w:ind w:left="-1440" w:right="-1440"/>
        <w:jc w:val="center"/>
        <w:rPr>
          <w:b/>
        </w:rPr>
      </w:pPr>
      <w:r w:rsidRPr="001E0050">
        <w:rPr>
          <w:b/>
        </w:rPr>
        <w:t>MEETING NOTES</w:t>
      </w:r>
    </w:p>
    <w:p w:rsidR="006D2E29" w:rsidRPr="001E0050" w:rsidRDefault="006D2E29" w:rsidP="001E0050">
      <w:pPr>
        <w:ind w:left="-1440" w:right="-1440"/>
        <w:jc w:val="center"/>
      </w:pPr>
    </w:p>
    <w:tbl>
      <w:tblPr>
        <w:tblW w:w="145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91"/>
        <w:gridCol w:w="3791"/>
      </w:tblGrid>
      <w:tr w:rsidR="006D2E29" w:rsidRPr="001E0050" w:rsidTr="005E7D1E">
        <w:tc>
          <w:tcPr>
            <w:tcW w:w="10789" w:type="dxa"/>
            <w:gridSpan w:val="2"/>
          </w:tcPr>
          <w:p w:rsidR="006D2E29" w:rsidRPr="001E0050" w:rsidRDefault="006D2E29" w:rsidP="001E0050">
            <w:pPr>
              <w:rPr>
                <w:b/>
              </w:rPr>
            </w:pPr>
            <w:r w:rsidRPr="001E0050">
              <w:rPr>
                <w:b/>
              </w:rPr>
              <w:t xml:space="preserve">Committee:   </w:t>
            </w:r>
            <w:r w:rsidR="00E91034" w:rsidRPr="001E0050">
              <w:rPr>
                <w:b/>
              </w:rPr>
              <w:t>Budget and Finance</w:t>
            </w:r>
          </w:p>
        </w:tc>
        <w:tc>
          <w:tcPr>
            <w:tcW w:w="3791" w:type="dxa"/>
          </w:tcPr>
          <w:p w:rsidR="0055133D" w:rsidRPr="001E0050" w:rsidRDefault="006D2E29" w:rsidP="006D2900">
            <w:pPr>
              <w:rPr>
                <w:b/>
              </w:rPr>
            </w:pPr>
            <w:r w:rsidRPr="001E0050">
              <w:rPr>
                <w:b/>
              </w:rPr>
              <w:t xml:space="preserve">Date:    </w:t>
            </w:r>
            <w:r w:rsidR="006D2900">
              <w:rPr>
                <w:b/>
              </w:rPr>
              <w:t>January 17, 2017</w:t>
            </w:r>
          </w:p>
        </w:tc>
      </w:tr>
      <w:tr w:rsidR="00D81AA6" w:rsidRPr="001E0050" w:rsidTr="005E7D1E">
        <w:trPr>
          <w:trHeight w:val="275"/>
        </w:trPr>
        <w:tc>
          <w:tcPr>
            <w:tcW w:w="10789" w:type="dxa"/>
            <w:gridSpan w:val="2"/>
            <w:vMerge w:val="restart"/>
          </w:tcPr>
          <w:p w:rsidR="00D81AA6" w:rsidRPr="001E0050" w:rsidRDefault="00D81AA6" w:rsidP="001E0050">
            <w:pPr>
              <w:rPr>
                <w:b/>
              </w:rPr>
            </w:pPr>
            <w:r w:rsidRPr="001E0050">
              <w:rPr>
                <w:b/>
              </w:rPr>
              <w:t>Board Members Attending:</w:t>
            </w:r>
            <w:r w:rsidR="003F79C4">
              <w:rPr>
                <w:b/>
              </w:rPr>
              <w:t xml:space="preserve"> </w:t>
            </w:r>
            <w:r w:rsidR="00C27C64">
              <w:rPr>
                <w:b/>
              </w:rPr>
              <w:t>Robin Andrews, Ken Stall</w:t>
            </w:r>
            <w:r w:rsidR="006D2900">
              <w:rPr>
                <w:b/>
              </w:rPr>
              <w:t>, Jim Campion</w:t>
            </w:r>
          </w:p>
          <w:p w:rsidR="00D81AA6" w:rsidRPr="001E0050" w:rsidRDefault="00D81AA6" w:rsidP="006D2900">
            <w:r w:rsidRPr="001E0050">
              <w:rPr>
                <w:b/>
              </w:rPr>
              <w:t xml:space="preserve">Board Members Absent:  </w:t>
            </w:r>
            <w:r w:rsidR="003F79C4">
              <w:rPr>
                <w:b/>
              </w:rPr>
              <w:t>PJ Keeler</w:t>
            </w:r>
            <w:r w:rsidR="00810247">
              <w:rPr>
                <w:b/>
              </w:rPr>
              <w:t xml:space="preserve">, Lisa Evans, Chelly Hegan </w:t>
            </w:r>
          </w:p>
        </w:tc>
        <w:tc>
          <w:tcPr>
            <w:tcW w:w="3791" w:type="dxa"/>
          </w:tcPr>
          <w:p w:rsidR="00D81AA6" w:rsidRPr="001E0050" w:rsidRDefault="00D81AA6" w:rsidP="00C27C64">
            <w:pPr>
              <w:rPr>
                <w:b/>
              </w:rPr>
            </w:pPr>
            <w:r w:rsidRPr="001E0050">
              <w:rPr>
                <w:b/>
              </w:rPr>
              <w:t xml:space="preserve">Guests: </w:t>
            </w:r>
            <w:r w:rsidR="00C27C64">
              <w:rPr>
                <w:b/>
              </w:rPr>
              <w:t>None</w:t>
            </w:r>
          </w:p>
        </w:tc>
      </w:tr>
      <w:tr w:rsidR="00D81AA6" w:rsidRPr="001E0050" w:rsidTr="005E7D1E">
        <w:trPr>
          <w:trHeight w:val="296"/>
        </w:trPr>
        <w:tc>
          <w:tcPr>
            <w:tcW w:w="10789" w:type="dxa"/>
            <w:gridSpan w:val="2"/>
            <w:vMerge/>
          </w:tcPr>
          <w:p w:rsidR="00D81AA6" w:rsidRPr="001E0050" w:rsidRDefault="00D81AA6" w:rsidP="001E0050">
            <w:pPr>
              <w:rPr>
                <w:b/>
              </w:rPr>
            </w:pPr>
          </w:p>
        </w:tc>
        <w:tc>
          <w:tcPr>
            <w:tcW w:w="3791" w:type="dxa"/>
          </w:tcPr>
          <w:p w:rsidR="00D81AA6" w:rsidRPr="001E0050" w:rsidRDefault="00D81AA6" w:rsidP="001E0050">
            <w:pPr>
              <w:rPr>
                <w:b/>
              </w:rPr>
            </w:pPr>
            <w:r w:rsidRPr="001E0050">
              <w:rPr>
                <w:b/>
              </w:rPr>
              <w:t>Staff Members Attending: Claire Parde</w:t>
            </w:r>
            <w:r w:rsidR="004E0E27">
              <w:rPr>
                <w:b/>
              </w:rPr>
              <w:t xml:space="preserve"> and John Ray</w:t>
            </w:r>
          </w:p>
        </w:tc>
      </w:tr>
      <w:tr w:rsidR="006D2E29" w:rsidRPr="001E0050" w:rsidTr="005E7D1E">
        <w:trPr>
          <w:trHeight w:val="345"/>
        </w:trPr>
        <w:tc>
          <w:tcPr>
            <w:tcW w:w="2098" w:type="dxa"/>
            <w:tcBorders>
              <w:top w:val="single" w:sz="8" w:space="0" w:color="auto"/>
              <w:left w:val="single" w:sz="8" w:space="0" w:color="auto"/>
              <w:bottom w:val="single" w:sz="4" w:space="0" w:color="auto"/>
              <w:right w:val="single" w:sz="8" w:space="0" w:color="auto"/>
            </w:tcBorders>
          </w:tcPr>
          <w:p w:rsidR="006D2E29" w:rsidRPr="001E0050" w:rsidRDefault="006D2E29" w:rsidP="00D81AA6">
            <w:pPr>
              <w:rPr>
                <w:b/>
              </w:rPr>
            </w:pPr>
            <w:r w:rsidRPr="001E0050">
              <w:rPr>
                <w:b/>
              </w:rPr>
              <w:t xml:space="preserve">TOPIC </w:t>
            </w:r>
          </w:p>
        </w:tc>
        <w:tc>
          <w:tcPr>
            <w:tcW w:w="12482" w:type="dxa"/>
            <w:gridSpan w:val="2"/>
            <w:tcBorders>
              <w:top w:val="single" w:sz="8" w:space="0" w:color="auto"/>
              <w:left w:val="single" w:sz="8" w:space="0" w:color="auto"/>
              <w:bottom w:val="single" w:sz="4" w:space="0" w:color="auto"/>
              <w:right w:val="single" w:sz="8" w:space="0" w:color="auto"/>
            </w:tcBorders>
          </w:tcPr>
          <w:p w:rsidR="006D2E29" w:rsidRPr="001E0050" w:rsidRDefault="006D2E29" w:rsidP="001E0050">
            <w:pPr>
              <w:rPr>
                <w:b/>
              </w:rPr>
            </w:pPr>
            <w:r w:rsidRPr="001E0050">
              <w:rPr>
                <w:b/>
              </w:rPr>
              <w:t>SUMMARY OF TOPIC DISCUSSED</w:t>
            </w:r>
          </w:p>
        </w:tc>
      </w:tr>
      <w:tr w:rsidR="00C27C64" w:rsidRPr="001E0050" w:rsidTr="00CE644A">
        <w:trPr>
          <w:trHeight w:val="3338"/>
        </w:trPr>
        <w:tc>
          <w:tcPr>
            <w:tcW w:w="2098" w:type="dxa"/>
            <w:tcBorders>
              <w:top w:val="single" w:sz="4" w:space="0" w:color="auto"/>
              <w:left w:val="single" w:sz="8" w:space="0" w:color="auto"/>
              <w:bottom w:val="single" w:sz="4" w:space="0" w:color="auto"/>
              <w:right w:val="single" w:sz="4" w:space="0" w:color="auto"/>
            </w:tcBorders>
            <w:vAlign w:val="center"/>
          </w:tcPr>
          <w:p w:rsidR="00C27C64" w:rsidRPr="001E0050" w:rsidRDefault="00C27C64" w:rsidP="00EC75A2">
            <w:pPr>
              <w:spacing w:before="120" w:after="120"/>
            </w:pPr>
            <w:r w:rsidRPr="001E0050">
              <w:t>Highlights from the Financial Reports</w:t>
            </w:r>
          </w:p>
          <w:p w:rsidR="00C27C64" w:rsidRDefault="00C27C64" w:rsidP="00810247"/>
        </w:tc>
        <w:tc>
          <w:tcPr>
            <w:tcW w:w="12482" w:type="dxa"/>
            <w:gridSpan w:val="2"/>
            <w:tcBorders>
              <w:top w:val="single" w:sz="4" w:space="0" w:color="auto"/>
              <w:left w:val="single" w:sz="4" w:space="0" w:color="auto"/>
              <w:bottom w:val="single" w:sz="4" w:space="0" w:color="auto"/>
            </w:tcBorders>
            <w:vAlign w:val="center"/>
          </w:tcPr>
          <w:p w:rsidR="00C27C64" w:rsidRDefault="00C27C64" w:rsidP="002B6DEC">
            <w:pPr>
              <w:spacing w:before="120" w:after="120"/>
            </w:pPr>
            <w:r w:rsidRPr="001E0050">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2B6DEC">
              <w:t xml:space="preserve">December </w:t>
            </w:r>
            <w:r>
              <w:t>31, 2016. John Ray offered his “Fiscal Highlights” (see attached).</w:t>
            </w:r>
            <w:r w:rsidR="00CE644A">
              <w:t xml:space="preserve">  Additionally, John presented an organizational budget for the 2017 Fiscal Year (Jan – Dec 2017)</w:t>
            </w:r>
            <w:r w:rsidR="0009460C">
              <w:t>, which the Committee reviewed and approved as to form and content</w:t>
            </w:r>
            <w:r w:rsidR="00CE644A">
              <w:t xml:space="preserve">. </w:t>
            </w:r>
          </w:p>
          <w:p w:rsidR="00CE644A" w:rsidRDefault="00CE644A" w:rsidP="002B6DEC">
            <w:pPr>
              <w:spacing w:before="120" w:after="120"/>
            </w:pPr>
            <w:r>
              <w:t>A review of the Statement of Financial Position led to a discussion about “excess” cash.  The Committee agreed that it would continue to monitor cash balances and periodically evaluate whether additions to the investment account should be made.</w:t>
            </w:r>
          </w:p>
          <w:p w:rsidR="00CE644A" w:rsidRDefault="00CE644A" w:rsidP="002B6DEC">
            <w:pPr>
              <w:spacing w:before="120" w:after="120"/>
            </w:pPr>
            <w:r>
              <w:t xml:space="preserve">The group also discussed the fund balance. It was noted that when an organization has a healthy fund balance and a good cash </w:t>
            </w:r>
            <w:r w:rsidR="0009460C">
              <w:t>position</w:t>
            </w:r>
            <w:r>
              <w:t>, as the Consortium does, then it may entertain using some monies from the fund balance for special</w:t>
            </w:r>
            <w:r w:rsidR="0009460C">
              <w:t>, otherwise unbudgeted</w:t>
            </w:r>
            <w:r>
              <w:t xml:space="preserve"> projects. </w:t>
            </w:r>
          </w:p>
          <w:p w:rsidR="005F21DD" w:rsidRDefault="00CE644A" w:rsidP="00CE644A">
            <w:pPr>
              <w:spacing w:before="120" w:after="120"/>
            </w:pPr>
            <w:r>
              <w:t>Robin requested that John add a Notes column to the Statement of Activities</w:t>
            </w:r>
            <w:r w:rsidR="0009460C">
              <w:t xml:space="preserve"> for brief explanatory notes</w:t>
            </w:r>
            <w:r>
              <w:t xml:space="preserve">. </w:t>
            </w:r>
          </w:p>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t>Investment Account</w:t>
            </w:r>
          </w:p>
        </w:tc>
        <w:tc>
          <w:tcPr>
            <w:tcW w:w="12482" w:type="dxa"/>
            <w:gridSpan w:val="2"/>
            <w:tcBorders>
              <w:top w:val="single" w:sz="4" w:space="0" w:color="auto"/>
              <w:left w:val="single" w:sz="4" w:space="0" w:color="auto"/>
              <w:bottom w:val="single" w:sz="4" w:space="0" w:color="auto"/>
            </w:tcBorders>
            <w:vAlign w:val="center"/>
          </w:tcPr>
          <w:p w:rsidR="004C488F" w:rsidRPr="001E0050" w:rsidRDefault="002B6DEC" w:rsidP="0009460C">
            <w:pPr>
              <w:spacing w:before="120" w:after="120"/>
            </w:pPr>
            <w:r>
              <w:t xml:space="preserve">Robin reminded the Committee that we will host Tim Bartholomew, our Investment Advisor, </w:t>
            </w:r>
            <w:r w:rsidR="0009460C">
              <w:t>at</w:t>
            </w:r>
            <w:r>
              <w:t xml:space="preserve"> our March meeting. </w:t>
            </w:r>
            <w:r w:rsidR="00ED4A58">
              <w:t xml:space="preserve"> </w:t>
            </w:r>
          </w:p>
        </w:tc>
      </w:tr>
      <w:tr w:rsidR="0061327C"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61327C" w:rsidRDefault="006D2900" w:rsidP="00810247">
            <w:r>
              <w:t xml:space="preserve">Update on </w:t>
            </w:r>
            <w:r w:rsidR="0061327C">
              <w:t>Medicaid Transportation</w:t>
            </w:r>
          </w:p>
        </w:tc>
        <w:tc>
          <w:tcPr>
            <w:tcW w:w="12482" w:type="dxa"/>
            <w:gridSpan w:val="2"/>
            <w:tcBorders>
              <w:top w:val="single" w:sz="4" w:space="0" w:color="auto"/>
              <w:left w:val="single" w:sz="4" w:space="0" w:color="auto"/>
              <w:bottom w:val="single" w:sz="4" w:space="0" w:color="auto"/>
            </w:tcBorders>
            <w:vAlign w:val="center"/>
          </w:tcPr>
          <w:p w:rsidR="0061327C" w:rsidRDefault="0061327C" w:rsidP="006D2900">
            <w:pPr>
              <w:spacing w:before="120" w:after="120"/>
            </w:pPr>
            <w:r>
              <w:t xml:space="preserve">Claire reported that </w:t>
            </w:r>
            <w:r w:rsidR="006D2900">
              <w:t xml:space="preserve">the Consortium submitted a bid to MAS, </w:t>
            </w:r>
            <w:r>
              <w:t xml:space="preserve">the NYSDOH-contracted transportation program manager, </w:t>
            </w:r>
            <w:r w:rsidR="006D2900">
              <w:t xml:space="preserve">in December to provide transportation for </w:t>
            </w:r>
            <w:r w:rsidR="00742E9B">
              <w:t>residents in group homes to and from PROS at MHA at 713 Union Street</w:t>
            </w:r>
            <w:r w:rsidR="006D2900">
              <w:t>.  Although MAS confirmed that it received our bid, we have received no subsequent response.  Instead, the trips have been dispatched to the Consortium as usual. We will update the Committee with new information as we learn it.</w:t>
            </w:r>
          </w:p>
        </w:tc>
      </w:tr>
      <w:tr w:rsidR="00CE644A"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CE644A" w:rsidRDefault="00CE644A" w:rsidP="00810247">
            <w:r>
              <w:t>Proposal for Employer Contributions to the Retirement Account</w:t>
            </w:r>
          </w:p>
        </w:tc>
        <w:tc>
          <w:tcPr>
            <w:tcW w:w="12482" w:type="dxa"/>
            <w:gridSpan w:val="2"/>
            <w:tcBorders>
              <w:top w:val="single" w:sz="4" w:space="0" w:color="auto"/>
              <w:left w:val="single" w:sz="4" w:space="0" w:color="auto"/>
              <w:bottom w:val="single" w:sz="4" w:space="0" w:color="auto"/>
            </w:tcBorders>
            <w:vAlign w:val="center"/>
          </w:tcPr>
          <w:p w:rsidR="00CE644A" w:rsidRDefault="00CE644A" w:rsidP="00037A04">
            <w:r>
              <w:t>Staff presented the Committee with a proposal for employer contributions to the 401(k) profit sharing account, which provided for contributions tied to Years of Service, as follows:</w:t>
            </w:r>
            <w:bookmarkStart w:id="0" w:name="_GoBack"/>
            <w:bookmarkEnd w:id="0"/>
          </w:p>
          <w:p w:rsidR="00CE644A" w:rsidRPr="00CE644A" w:rsidRDefault="00CE644A" w:rsidP="00037A04">
            <w:pPr>
              <w:pStyle w:val="ListParagraph"/>
              <w:numPr>
                <w:ilvl w:val="0"/>
                <w:numId w:val="17"/>
              </w:numPr>
              <w:spacing w:after="0"/>
              <w:rPr>
                <w:rFonts w:ascii="Times New Roman" w:hAnsi="Times New Roman"/>
                <w:sz w:val="24"/>
              </w:rPr>
            </w:pPr>
            <w:r w:rsidRPr="00CE644A">
              <w:rPr>
                <w:rFonts w:ascii="Times New Roman" w:hAnsi="Times New Roman"/>
                <w:sz w:val="24"/>
              </w:rPr>
              <w:t>2% of gross wages for all staff with tenure of 0-4 years</w:t>
            </w:r>
          </w:p>
          <w:p w:rsidR="00CE644A" w:rsidRPr="00CE644A" w:rsidRDefault="0009460C" w:rsidP="00037A04">
            <w:pPr>
              <w:pStyle w:val="ListParagraph"/>
              <w:numPr>
                <w:ilvl w:val="0"/>
                <w:numId w:val="17"/>
              </w:numPr>
              <w:spacing w:after="0"/>
              <w:rPr>
                <w:rFonts w:ascii="Times New Roman" w:hAnsi="Times New Roman"/>
                <w:sz w:val="24"/>
              </w:rPr>
            </w:pPr>
            <w:r>
              <w:rPr>
                <w:rFonts w:ascii="Times New Roman" w:hAnsi="Times New Roman"/>
                <w:sz w:val="24"/>
              </w:rPr>
              <w:t>+</w:t>
            </w:r>
            <w:r w:rsidR="00CE644A" w:rsidRPr="00CE644A">
              <w:rPr>
                <w:rFonts w:ascii="Times New Roman" w:hAnsi="Times New Roman"/>
                <w:sz w:val="24"/>
              </w:rPr>
              <w:t xml:space="preserve"> 1% for all staff with tenure of 5-9 years</w:t>
            </w:r>
          </w:p>
          <w:p w:rsidR="00CE644A" w:rsidRPr="00CE644A" w:rsidRDefault="0009460C" w:rsidP="00037A04">
            <w:pPr>
              <w:pStyle w:val="ListParagraph"/>
              <w:numPr>
                <w:ilvl w:val="0"/>
                <w:numId w:val="17"/>
              </w:numPr>
              <w:spacing w:after="0"/>
              <w:rPr>
                <w:rFonts w:ascii="Times New Roman" w:hAnsi="Times New Roman"/>
                <w:sz w:val="24"/>
              </w:rPr>
            </w:pPr>
            <w:r>
              <w:rPr>
                <w:rFonts w:ascii="Times New Roman" w:hAnsi="Times New Roman"/>
                <w:sz w:val="24"/>
              </w:rPr>
              <w:t>+</w:t>
            </w:r>
            <w:r w:rsidR="00CE644A" w:rsidRPr="00CE644A">
              <w:rPr>
                <w:rFonts w:ascii="Times New Roman" w:hAnsi="Times New Roman"/>
                <w:sz w:val="24"/>
              </w:rPr>
              <w:t xml:space="preserve"> 1% for all staff with tenure of 10-14 years</w:t>
            </w:r>
          </w:p>
          <w:p w:rsidR="00CE644A" w:rsidRPr="00CE644A" w:rsidRDefault="0009460C" w:rsidP="00037A04">
            <w:pPr>
              <w:pStyle w:val="ListParagraph"/>
              <w:numPr>
                <w:ilvl w:val="0"/>
                <w:numId w:val="17"/>
              </w:numPr>
              <w:spacing w:after="0"/>
            </w:pPr>
            <w:r>
              <w:rPr>
                <w:rFonts w:ascii="Times New Roman" w:hAnsi="Times New Roman"/>
                <w:sz w:val="24"/>
              </w:rPr>
              <w:t>+</w:t>
            </w:r>
            <w:r w:rsidR="00CE644A" w:rsidRPr="00CE644A">
              <w:rPr>
                <w:rFonts w:ascii="Times New Roman" w:hAnsi="Times New Roman"/>
                <w:sz w:val="24"/>
              </w:rPr>
              <w:t xml:space="preserve"> 1% for all staff with tenure of 15+ years</w:t>
            </w:r>
          </w:p>
          <w:p w:rsidR="00037A04" w:rsidRDefault="00037A04" w:rsidP="00037A04">
            <w:r>
              <w:t>They noted that 2% of gross wages had already been incorporated into the fringe line of the applicable grant and contract budgets at the time they were crafted, and any additional expenses could be easily accommodated within the same budgets through simple budget modifications.</w:t>
            </w:r>
          </w:p>
          <w:p w:rsidR="00CE644A" w:rsidRDefault="00CE644A" w:rsidP="00CE644A">
            <w:r>
              <w:lastRenderedPageBreak/>
              <w:t>Additionally, John and Claire asked the Committee to consider employing this model in all subsequent years, funds permitting, as having a formula greatly facilitates their planning for contribution</w:t>
            </w:r>
            <w:r w:rsidR="0009460C">
              <w:t>s</w:t>
            </w:r>
            <w:r>
              <w:t xml:space="preserve"> in grant and contract budgets. </w:t>
            </w:r>
          </w:p>
          <w:p w:rsidR="00037A04" w:rsidRDefault="00037A04" w:rsidP="00CE644A"/>
          <w:p w:rsidR="002B263C" w:rsidRDefault="00CE644A" w:rsidP="002B263C">
            <w:r w:rsidRPr="0009460C">
              <w:rPr>
                <w:b/>
              </w:rPr>
              <w:t xml:space="preserve">Ken Stall made a motion to recommend the Years of Service </w:t>
            </w:r>
            <w:r w:rsidR="002B263C" w:rsidRPr="0009460C">
              <w:rPr>
                <w:b/>
              </w:rPr>
              <w:t>Methodology for calculating employer contributions in this and subsequent plan years to the Entire Board.  Jim Campion seconded, all approved and the motion carried.</w:t>
            </w:r>
            <w:r w:rsidR="0009460C">
              <w:t xml:space="preserve">  This recommendation will be communicated at the next meeting of the Entire Board on February 1, 2017.</w:t>
            </w:r>
          </w:p>
          <w:p w:rsidR="002B263C" w:rsidRDefault="002B263C" w:rsidP="002B263C"/>
          <w:p w:rsidR="002B263C" w:rsidRDefault="002B263C" w:rsidP="002B263C">
            <w:r>
              <w:t xml:space="preserve">It was noted that Claire’s annual employment contract, which was executed prior to this determination being made, is unclear in its provision for contributions to the retirement plan.  It was the understanding of Committee members that the </w:t>
            </w:r>
            <w:r w:rsidR="0009460C">
              <w:t>amount</w:t>
            </w:r>
            <w:r>
              <w:t xml:space="preserve"> provided for in the contract is in addition to any agency-wide contribution, but this </w:t>
            </w:r>
            <w:r w:rsidR="0009460C">
              <w:t>wa</w:t>
            </w:r>
            <w:r>
              <w:t>s not specified. Therefore, the Committee suggested that the Executive Committee make an amendment to the contract to clarify those terms. This will be included in the agenda of the Executive Committee meeting of January 25, 2017.</w:t>
            </w:r>
          </w:p>
          <w:p w:rsidR="002B263C" w:rsidRDefault="002B263C" w:rsidP="002B263C"/>
        </w:tc>
      </w:tr>
      <w:tr w:rsidR="00810247" w:rsidRPr="001E0050" w:rsidTr="005E7D1E">
        <w:trPr>
          <w:trHeight w:val="530"/>
        </w:trPr>
        <w:tc>
          <w:tcPr>
            <w:tcW w:w="2098" w:type="dxa"/>
            <w:tcBorders>
              <w:top w:val="single" w:sz="4" w:space="0" w:color="auto"/>
              <w:left w:val="single" w:sz="8" w:space="0" w:color="auto"/>
              <w:bottom w:val="single" w:sz="4" w:space="0" w:color="auto"/>
              <w:right w:val="single" w:sz="4" w:space="0" w:color="auto"/>
            </w:tcBorders>
            <w:vAlign w:val="center"/>
          </w:tcPr>
          <w:p w:rsidR="00810247" w:rsidRPr="001E0050" w:rsidRDefault="00810247" w:rsidP="00810247">
            <w:r>
              <w:lastRenderedPageBreak/>
              <w:t>Next mtng</w:t>
            </w:r>
          </w:p>
        </w:tc>
        <w:tc>
          <w:tcPr>
            <w:tcW w:w="12482" w:type="dxa"/>
            <w:gridSpan w:val="2"/>
            <w:tcBorders>
              <w:top w:val="single" w:sz="4" w:space="0" w:color="auto"/>
              <w:left w:val="single" w:sz="4" w:space="0" w:color="auto"/>
              <w:bottom w:val="single" w:sz="4" w:space="0" w:color="auto"/>
            </w:tcBorders>
            <w:vAlign w:val="center"/>
          </w:tcPr>
          <w:p w:rsidR="00810247" w:rsidRPr="001E0050" w:rsidRDefault="00810247" w:rsidP="006D2900">
            <w:pPr>
              <w:spacing w:before="120"/>
            </w:pPr>
            <w:r w:rsidRPr="005D783D">
              <w:t xml:space="preserve">The next meeting is scheduled for </w:t>
            </w:r>
            <w:r w:rsidR="006D2900">
              <w:t>March 21, 2017</w:t>
            </w:r>
            <w:r w:rsidR="00D2044F">
              <w:t xml:space="preserve"> at 3:00 p.m.</w:t>
            </w:r>
          </w:p>
        </w:tc>
      </w:tr>
    </w:tbl>
    <w:p w:rsidR="005E7D1E" w:rsidRDefault="005E7D1E">
      <w:pPr>
        <w:sectPr w:rsidR="005E7D1E" w:rsidSect="00990FBF">
          <w:pgSz w:w="15840" w:h="12240" w:orient="landscape"/>
          <w:pgMar w:top="720" w:right="720" w:bottom="720" w:left="720" w:header="720" w:footer="720" w:gutter="0"/>
          <w:cols w:space="720"/>
          <w:docGrid w:linePitch="360"/>
        </w:sectPr>
      </w:pPr>
      <w:r>
        <w:br w:type="page"/>
      </w:r>
    </w:p>
    <w:tbl>
      <w:tblPr>
        <w:tblW w:w="10800" w:type="dxa"/>
        <w:tblLayout w:type="fixed"/>
        <w:tblLook w:val="04A0" w:firstRow="1" w:lastRow="0" w:firstColumn="1" w:lastColumn="0" w:noHBand="0" w:noVBand="1"/>
      </w:tblPr>
      <w:tblGrid>
        <w:gridCol w:w="422"/>
        <w:gridCol w:w="1210"/>
        <w:gridCol w:w="1428"/>
        <w:gridCol w:w="1530"/>
        <w:gridCol w:w="1425"/>
        <w:gridCol w:w="2085"/>
        <w:gridCol w:w="1800"/>
        <w:gridCol w:w="414"/>
        <w:gridCol w:w="486"/>
      </w:tblGrid>
      <w:tr w:rsidR="005F21DD" w:rsidRPr="005F21DD" w:rsidTr="005F21DD">
        <w:trPr>
          <w:trHeight w:val="465"/>
        </w:trPr>
        <w:tc>
          <w:tcPr>
            <w:tcW w:w="10800" w:type="dxa"/>
            <w:gridSpan w:val="9"/>
            <w:tcBorders>
              <w:top w:val="nil"/>
              <w:left w:val="nil"/>
              <w:bottom w:val="nil"/>
              <w:right w:val="nil"/>
            </w:tcBorders>
            <w:shd w:val="clear" w:color="auto" w:fill="auto"/>
            <w:noWrap/>
            <w:vAlign w:val="center"/>
            <w:hideMark/>
          </w:tcPr>
          <w:p w:rsidR="005F21DD" w:rsidRPr="005F21DD" w:rsidRDefault="005F21DD" w:rsidP="005F21DD">
            <w:pPr>
              <w:jc w:val="center"/>
              <w:rPr>
                <w:rFonts w:ascii="Calibri" w:hAnsi="Calibri" w:cs="Arial"/>
                <w:b/>
                <w:bCs/>
                <w:color w:val="000000"/>
                <w:sz w:val="36"/>
                <w:szCs w:val="36"/>
              </w:rPr>
            </w:pPr>
            <w:r w:rsidRPr="005F21DD">
              <w:rPr>
                <w:rFonts w:ascii="Calibri" w:hAnsi="Calibri" w:cs="Arial"/>
                <w:b/>
                <w:bCs/>
                <w:color w:val="000000"/>
                <w:sz w:val="36"/>
                <w:szCs w:val="36"/>
              </w:rPr>
              <w:lastRenderedPageBreak/>
              <w:t>Finance &amp; Budget Committee Meeting</w:t>
            </w:r>
          </w:p>
        </w:tc>
      </w:tr>
      <w:tr w:rsidR="005F21DD" w:rsidRPr="005F21DD" w:rsidTr="005F21DD">
        <w:trPr>
          <w:trHeight w:val="465"/>
        </w:trPr>
        <w:tc>
          <w:tcPr>
            <w:tcW w:w="10800" w:type="dxa"/>
            <w:gridSpan w:val="9"/>
            <w:tcBorders>
              <w:top w:val="nil"/>
              <w:left w:val="nil"/>
              <w:bottom w:val="nil"/>
              <w:right w:val="nil"/>
            </w:tcBorders>
            <w:shd w:val="clear" w:color="auto" w:fill="auto"/>
            <w:noWrap/>
            <w:vAlign w:val="center"/>
            <w:hideMark/>
          </w:tcPr>
          <w:p w:rsidR="005F21DD" w:rsidRPr="005F21DD" w:rsidRDefault="005F21DD" w:rsidP="005F21DD">
            <w:pPr>
              <w:jc w:val="center"/>
              <w:rPr>
                <w:rFonts w:ascii="Calibri" w:hAnsi="Calibri" w:cs="Arial"/>
                <w:b/>
                <w:bCs/>
                <w:color w:val="000000"/>
                <w:sz w:val="36"/>
                <w:szCs w:val="36"/>
              </w:rPr>
            </w:pPr>
            <w:r w:rsidRPr="005F21DD">
              <w:rPr>
                <w:rFonts w:ascii="Calibri" w:hAnsi="Calibri" w:cs="Arial"/>
                <w:b/>
                <w:bCs/>
                <w:color w:val="000000"/>
                <w:sz w:val="36"/>
                <w:szCs w:val="36"/>
              </w:rPr>
              <w:t xml:space="preserve">   Fiscal Highlights</w:t>
            </w:r>
          </w:p>
        </w:tc>
      </w:tr>
      <w:tr w:rsidR="005F21DD" w:rsidRPr="005F21DD" w:rsidTr="005F21DD">
        <w:trPr>
          <w:trHeight w:val="465"/>
        </w:trPr>
        <w:tc>
          <w:tcPr>
            <w:tcW w:w="10800" w:type="dxa"/>
            <w:gridSpan w:val="9"/>
            <w:tcBorders>
              <w:top w:val="nil"/>
              <w:left w:val="nil"/>
              <w:bottom w:val="nil"/>
              <w:right w:val="nil"/>
            </w:tcBorders>
            <w:shd w:val="clear" w:color="auto" w:fill="auto"/>
            <w:noWrap/>
            <w:vAlign w:val="center"/>
            <w:hideMark/>
          </w:tcPr>
          <w:p w:rsidR="005F21DD" w:rsidRPr="005F21DD" w:rsidRDefault="005F21DD" w:rsidP="005F21DD">
            <w:pPr>
              <w:jc w:val="center"/>
              <w:rPr>
                <w:rFonts w:ascii="Calibri" w:hAnsi="Calibri" w:cs="Arial"/>
                <w:b/>
                <w:bCs/>
                <w:color w:val="000000"/>
                <w:sz w:val="36"/>
                <w:szCs w:val="36"/>
              </w:rPr>
            </w:pPr>
            <w:r w:rsidRPr="005F21DD">
              <w:rPr>
                <w:rFonts w:ascii="Calibri" w:hAnsi="Calibri" w:cs="Arial"/>
                <w:b/>
                <w:bCs/>
                <w:color w:val="000000"/>
                <w:sz w:val="36"/>
                <w:szCs w:val="36"/>
              </w:rPr>
              <w:t>Tuesday, January 17, 2017</w:t>
            </w:r>
          </w:p>
        </w:tc>
      </w:tr>
      <w:tr w:rsidR="005F21DD" w:rsidRPr="005F21DD" w:rsidTr="005F21DD">
        <w:trPr>
          <w:trHeight w:val="555"/>
        </w:trPr>
        <w:tc>
          <w:tcPr>
            <w:tcW w:w="10800" w:type="dxa"/>
            <w:gridSpan w:val="9"/>
            <w:tcBorders>
              <w:top w:val="nil"/>
              <w:left w:val="nil"/>
              <w:bottom w:val="nil"/>
              <w:right w:val="nil"/>
            </w:tcBorders>
            <w:shd w:val="clear" w:color="auto" w:fill="auto"/>
            <w:vAlign w:val="bottom"/>
            <w:hideMark/>
          </w:tcPr>
          <w:p w:rsidR="005F21DD" w:rsidRPr="005F21DD" w:rsidRDefault="005F21DD" w:rsidP="005F21DD">
            <w:pPr>
              <w:jc w:val="center"/>
              <w:rPr>
                <w:rFonts w:ascii="Wide Latin" w:hAnsi="Wide Latin" w:cs="Arial"/>
                <w:color w:val="000000"/>
              </w:rPr>
            </w:pPr>
            <w:r w:rsidRPr="005F21DD">
              <w:rPr>
                <w:rFonts w:ascii="Wide Latin" w:hAnsi="Wide Latin" w:cs="Arial"/>
                <w:color w:val="000000"/>
              </w:rPr>
              <w:t>Revenue, Support &amp; Expenses</w:t>
            </w:r>
          </w:p>
        </w:tc>
      </w:tr>
      <w:tr w:rsidR="005F21DD" w:rsidRPr="005F21DD" w:rsidTr="005F21DD">
        <w:trPr>
          <w:trHeight w:val="1005"/>
        </w:trPr>
        <w:tc>
          <w:tcPr>
            <w:tcW w:w="10800" w:type="dxa"/>
            <w:gridSpan w:val="9"/>
            <w:tcBorders>
              <w:top w:val="nil"/>
              <w:left w:val="nil"/>
              <w:bottom w:val="nil"/>
              <w:right w:val="nil"/>
            </w:tcBorders>
            <w:shd w:val="clear" w:color="auto" w:fill="auto"/>
            <w:hideMark/>
          </w:tcPr>
          <w:p w:rsidR="005F21DD" w:rsidRPr="005F21DD" w:rsidRDefault="005F21DD" w:rsidP="005F21DD">
            <w:pPr>
              <w:rPr>
                <w:color w:val="000000"/>
              </w:rPr>
            </w:pPr>
            <w:r w:rsidRPr="005F21DD">
              <w:rPr>
                <w:b/>
                <w:bCs/>
                <w:color w:val="000000"/>
              </w:rPr>
              <w:t>Columbia County 2017 Budget</w:t>
            </w:r>
            <w:r w:rsidRPr="005F21DD">
              <w:rPr>
                <w:color w:val="000000"/>
              </w:rPr>
              <w:t xml:space="preserve"> - Columbia County and various County Departments, again, are very generious to CCCHC with an amount of $68,000 for the our Transportation CARTS Program &amp; Lobby Receptionist Wages. Of the $68,000, we recently received $10,000 in January'17 from Columbia County DSS. </w:t>
            </w:r>
          </w:p>
        </w:tc>
      </w:tr>
      <w:tr w:rsidR="005F21DD" w:rsidRPr="005F21DD" w:rsidTr="005F21DD">
        <w:trPr>
          <w:trHeight w:val="840"/>
        </w:trPr>
        <w:tc>
          <w:tcPr>
            <w:tcW w:w="10800" w:type="dxa"/>
            <w:gridSpan w:val="9"/>
            <w:tcBorders>
              <w:top w:val="nil"/>
              <w:left w:val="nil"/>
              <w:bottom w:val="nil"/>
              <w:right w:val="nil"/>
            </w:tcBorders>
            <w:shd w:val="clear" w:color="auto" w:fill="auto"/>
            <w:hideMark/>
          </w:tcPr>
          <w:p w:rsidR="005F21DD" w:rsidRPr="005F21DD" w:rsidRDefault="005F21DD" w:rsidP="005F21DD">
            <w:pPr>
              <w:rPr>
                <w:color w:val="000000"/>
              </w:rPr>
            </w:pPr>
            <w:r w:rsidRPr="005F21DD">
              <w:rPr>
                <w:b/>
                <w:bCs/>
                <w:color w:val="000000"/>
              </w:rPr>
              <w:t>HCBS Start-U</w:t>
            </w:r>
            <w:r w:rsidRPr="005F21DD">
              <w:rPr>
                <w:color w:val="000000"/>
              </w:rPr>
              <w:t>p</w:t>
            </w:r>
            <w:r w:rsidRPr="005F21DD">
              <w:rPr>
                <w:b/>
                <w:bCs/>
                <w:color w:val="000000"/>
              </w:rPr>
              <w:t xml:space="preserve"> Fund - </w:t>
            </w:r>
            <w:r w:rsidRPr="005F21DD">
              <w:rPr>
                <w:color w:val="000000"/>
              </w:rPr>
              <w:t>During April 2016, we received $49,850 from NYS Office of Mental Health &amp; Alcoholism &amp; Substance Abuse Services for HCBS start-up services. Given the slow uptake of HCBS Services, we are returning the $49,850 on Jan 17, 2017.</w:t>
            </w:r>
          </w:p>
        </w:tc>
      </w:tr>
      <w:tr w:rsidR="005F21DD" w:rsidRPr="005F21DD" w:rsidTr="005F21DD">
        <w:trPr>
          <w:trHeight w:val="960"/>
        </w:trPr>
        <w:tc>
          <w:tcPr>
            <w:tcW w:w="10800" w:type="dxa"/>
            <w:gridSpan w:val="9"/>
            <w:tcBorders>
              <w:top w:val="nil"/>
              <w:left w:val="nil"/>
              <w:bottom w:val="nil"/>
              <w:right w:val="nil"/>
            </w:tcBorders>
            <w:shd w:val="clear" w:color="auto" w:fill="auto"/>
            <w:hideMark/>
          </w:tcPr>
          <w:p w:rsidR="005F21DD" w:rsidRPr="005F21DD" w:rsidRDefault="005F21DD" w:rsidP="005F21DD">
            <w:pPr>
              <w:rPr>
                <w:color w:val="000000"/>
              </w:rPr>
            </w:pPr>
            <w:r w:rsidRPr="005F21DD">
              <w:rPr>
                <w:b/>
                <w:bCs/>
                <w:color w:val="000000"/>
              </w:rPr>
              <w:t>Dyson Foundation -</w:t>
            </w:r>
            <w:r w:rsidRPr="005F21DD">
              <w:rPr>
                <w:color w:val="000000"/>
              </w:rPr>
              <w:t xml:space="preserve"> Previously requested from Dyson a two year grant in the amount of $44,000 for prescription Rx access. Dyson approved the grant proposal but at a lower $40,000 amount for the 2017 &amp; 2018 years. Prior two year grant was in the amount of $50,000.</w:t>
            </w:r>
          </w:p>
        </w:tc>
      </w:tr>
      <w:tr w:rsidR="005F21DD" w:rsidRPr="005F21DD" w:rsidTr="005F21DD">
        <w:trPr>
          <w:trHeight w:val="840"/>
        </w:trPr>
        <w:tc>
          <w:tcPr>
            <w:tcW w:w="10800" w:type="dxa"/>
            <w:gridSpan w:val="9"/>
            <w:tcBorders>
              <w:top w:val="nil"/>
              <w:left w:val="nil"/>
              <w:bottom w:val="nil"/>
              <w:right w:val="nil"/>
            </w:tcBorders>
            <w:shd w:val="clear" w:color="auto" w:fill="auto"/>
            <w:hideMark/>
          </w:tcPr>
          <w:p w:rsidR="005F21DD" w:rsidRPr="005F21DD" w:rsidRDefault="005F21DD" w:rsidP="005F21DD">
            <w:pPr>
              <w:rPr>
                <w:color w:val="000000"/>
              </w:rPr>
            </w:pPr>
            <w:r w:rsidRPr="005F21DD">
              <w:rPr>
                <w:b/>
                <w:bCs/>
                <w:color w:val="000000"/>
              </w:rPr>
              <w:t>Medicaid Transportation</w:t>
            </w:r>
            <w:r w:rsidRPr="005F21DD">
              <w:rPr>
                <w:color w:val="000000"/>
              </w:rPr>
              <w:t xml:space="preserve"> - Agency submitted a bid to MAS for a fixed price per individual per trip for Zone 2 which includes our group rides in Ancramdale &amp; Copake, and did not submit a bid for Zone 1 which inludes rides in Ghent, Philmont &amp; Hudson. No word if bid was accepted. </w:t>
            </w:r>
          </w:p>
        </w:tc>
      </w:tr>
      <w:tr w:rsidR="005F21DD" w:rsidRPr="005F21DD" w:rsidTr="005F21DD">
        <w:trPr>
          <w:trHeight w:val="510"/>
        </w:trPr>
        <w:tc>
          <w:tcPr>
            <w:tcW w:w="10800" w:type="dxa"/>
            <w:gridSpan w:val="9"/>
            <w:tcBorders>
              <w:top w:val="nil"/>
              <w:left w:val="nil"/>
              <w:bottom w:val="nil"/>
              <w:right w:val="nil"/>
            </w:tcBorders>
            <w:shd w:val="clear" w:color="auto" w:fill="auto"/>
            <w:vAlign w:val="bottom"/>
            <w:hideMark/>
          </w:tcPr>
          <w:p w:rsidR="005F21DD" w:rsidRPr="005F21DD" w:rsidRDefault="005F21DD" w:rsidP="005F21DD">
            <w:pPr>
              <w:jc w:val="center"/>
              <w:rPr>
                <w:rFonts w:ascii="Wide Latin" w:hAnsi="Wide Latin" w:cs="Arial"/>
                <w:color w:val="000000"/>
              </w:rPr>
            </w:pPr>
            <w:r w:rsidRPr="005F21DD">
              <w:rPr>
                <w:rFonts w:ascii="Wide Latin" w:hAnsi="Wide Latin" w:cs="Arial"/>
                <w:color w:val="000000"/>
              </w:rPr>
              <w:t>Grant Receivable</w:t>
            </w:r>
          </w:p>
        </w:tc>
      </w:tr>
      <w:tr w:rsidR="005F21DD" w:rsidRPr="005F21DD" w:rsidTr="005F21DD">
        <w:trPr>
          <w:trHeight w:val="840"/>
        </w:trPr>
        <w:tc>
          <w:tcPr>
            <w:tcW w:w="10800" w:type="dxa"/>
            <w:gridSpan w:val="9"/>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color w:val="000000"/>
              </w:rPr>
              <w:t xml:space="preserve"> </w:t>
            </w:r>
            <w:r w:rsidRPr="005F21DD">
              <w:rPr>
                <w:rFonts w:ascii="Calibri" w:hAnsi="Calibri" w:cs="Arial"/>
                <w:b/>
                <w:bCs/>
                <w:color w:val="000000"/>
              </w:rPr>
              <w:t xml:space="preserve">Grant Receivable - </w:t>
            </w:r>
            <w:r w:rsidRPr="005F21DD">
              <w:rPr>
                <w:rFonts w:ascii="Calibri" w:hAnsi="Calibri" w:cs="Arial"/>
                <w:color w:val="000000"/>
              </w:rPr>
              <w:t xml:space="preserve">  As of December 31, 2016 our Grant Receivable is $232,150. Expectation is that we will collect on all receivables. Wrote off at 12/31/16 the $3,256 amount that we booked at 12/31/15 for 2% Medicaid recoupment. Summary as follows:</w:t>
            </w: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rPr>
                <w:rFonts w:ascii="Wingdings" w:hAnsi="Wingdings" w:cs="Arial"/>
                <w:color w:val="000000"/>
              </w:rPr>
            </w:pPr>
          </w:p>
        </w:tc>
        <w:tc>
          <w:tcPr>
            <w:tcW w:w="2638" w:type="dxa"/>
            <w:gridSpan w:val="2"/>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53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425" w:type="dxa"/>
            <w:tcBorders>
              <w:top w:val="nil"/>
              <w:left w:val="nil"/>
              <w:bottom w:val="nil"/>
              <w:right w:val="nil"/>
            </w:tcBorders>
            <w:shd w:val="clear" w:color="auto" w:fill="auto"/>
            <w:vAlign w:val="bottom"/>
            <w:hideMark/>
          </w:tcPr>
          <w:p w:rsidR="005F21DD" w:rsidRPr="005F21DD" w:rsidRDefault="005F21DD" w:rsidP="005F21DD">
            <w:pPr>
              <w:jc w:val="center"/>
              <w:rPr>
                <w:color w:val="000000"/>
              </w:rPr>
            </w:pPr>
            <w:r w:rsidRPr="005F21DD">
              <w:rPr>
                <w:color w:val="000000"/>
              </w:rPr>
              <w:t>Amount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center"/>
              <w:rPr>
                <w:color w:val="000000"/>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right"/>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right"/>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Rural Health Network Program</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49,921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Navigator Health Exchange Program</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44,443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Tobacco-Free Program</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37,417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Cancer Services Program</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28,636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Transportation-Medicaid</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37,421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Other Columbia County Programs</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28,892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1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jc w:val="center"/>
              <w:rPr>
                <w:sz w:val="20"/>
                <w:szCs w:val="20"/>
              </w:rPr>
            </w:pPr>
          </w:p>
        </w:tc>
        <w:tc>
          <w:tcPr>
            <w:tcW w:w="295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Greene County DSS</w:t>
            </w:r>
          </w:p>
        </w:tc>
        <w:tc>
          <w:tcPr>
            <w:tcW w:w="1425" w:type="dxa"/>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5,420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rFonts w:ascii="Arial" w:hAnsi="Arial" w:cs="Arial"/>
                <w:color w:val="000000"/>
                <w:sz w:val="22"/>
                <w:szCs w:val="22"/>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330"/>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2638" w:type="dxa"/>
            <w:gridSpan w:val="2"/>
            <w:tcBorders>
              <w:top w:val="nil"/>
              <w:left w:val="nil"/>
              <w:bottom w:val="nil"/>
              <w:right w:val="nil"/>
            </w:tcBorders>
            <w:shd w:val="clear" w:color="auto" w:fill="auto"/>
            <w:hideMark/>
          </w:tcPr>
          <w:p w:rsidR="005F21DD" w:rsidRPr="005F21DD" w:rsidRDefault="005F21DD" w:rsidP="005F21DD">
            <w:pPr>
              <w:jc w:val="center"/>
              <w:rPr>
                <w:color w:val="000000"/>
              </w:rPr>
            </w:pPr>
            <w:r w:rsidRPr="005F21DD">
              <w:rPr>
                <w:color w:val="000000"/>
              </w:rPr>
              <w:t>Total Grant Receivable</w:t>
            </w:r>
          </w:p>
        </w:tc>
        <w:tc>
          <w:tcPr>
            <w:tcW w:w="1530" w:type="dxa"/>
            <w:tcBorders>
              <w:top w:val="nil"/>
              <w:left w:val="nil"/>
              <w:bottom w:val="nil"/>
              <w:right w:val="nil"/>
            </w:tcBorders>
            <w:shd w:val="clear" w:color="auto" w:fill="auto"/>
            <w:vAlign w:val="bottom"/>
            <w:hideMark/>
          </w:tcPr>
          <w:p w:rsidR="005F21DD" w:rsidRPr="005F21DD" w:rsidRDefault="005F21DD" w:rsidP="005F21DD">
            <w:pPr>
              <w:jc w:val="center"/>
              <w:rPr>
                <w:color w:val="000000"/>
              </w:rPr>
            </w:pPr>
          </w:p>
        </w:tc>
        <w:tc>
          <w:tcPr>
            <w:tcW w:w="1425" w:type="dxa"/>
            <w:tcBorders>
              <w:top w:val="single" w:sz="4" w:space="0" w:color="auto"/>
              <w:left w:val="nil"/>
              <w:bottom w:val="double" w:sz="6" w:space="0" w:color="auto"/>
              <w:right w:val="nil"/>
            </w:tcBorders>
            <w:shd w:val="clear" w:color="auto" w:fill="auto"/>
            <w:vAlign w:val="bottom"/>
            <w:hideMark/>
          </w:tcPr>
          <w:p w:rsidR="005F21DD" w:rsidRPr="005F21DD" w:rsidRDefault="005F21DD" w:rsidP="005F21DD">
            <w:pPr>
              <w:jc w:val="right"/>
              <w:rPr>
                <w:color w:val="000000"/>
              </w:rPr>
            </w:pPr>
            <w:r w:rsidRPr="005F21DD">
              <w:rPr>
                <w:color w:val="000000"/>
              </w:rPr>
              <w:t xml:space="preserve">$232,150 </w:t>
            </w: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color w:val="000000"/>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247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rPr>
                <w:rFonts w:ascii="Arial" w:hAnsi="Arial" w:cs="Arial"/>
                <w:color w:val="000000"/>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1780"/>
            </w:tblGrid>
            <w:tr w:rsidR="005F21DD" w:rsidRPr="005F21DD" w:rsidTr="005F21DD">
              <w:trPr>
                <w:trHeight w:val="2475"/>
                <w:tblCellSpacing w:w="0" w:type="dxa"/>
              </w:trPr>
              <w:tc>
                <w:tcPr>
                  <w:tcW w:w="1780" w:type="dxa"/>
                  <w:tcBorders>
                    <w:top w:val="nil"/>
                    <w:left w:val="nil"/>
                    <w:bottom w:val="nil"/>
                    <w:right w:val="nil"/>
                  </w:tcBorders>
                  <w:shd w:val="clear" w:color="auto" w:fill="auto"/>
                  <w:hideMark/>
                </w:tcPr>
                <w:p w:rsidR="005F21DD" w:rsidRPr="005F21DD" w:rsidRDefault="005F21DD" w:rsidP="005F21DD">
                  <w:pPr>
                    <w:rPr>
                      <w:rFonts w:ascii="Arial" w:hAnsi="Arial" w:cs="Arial"/>
                      <w:color w:val="000000"/>
                      <w:sz w:val="22"/>
                      <w:szCs w:val="22"/>
                    </w:rPr>
                  </w:pPr>
                </w:p>
              </w:tc>
            </w:tr>
          </w:tbl>
          <w:p w:rsidR="005F21DD" w:rsidRPr="005F21DD" w:rsidRDefault="005F21DD" w:rsidP="005F21DD">
            <w:pPr>
              <w:rPr>
                <w:rFonts w:ascii="Arial" w:hAnsi="Arial" w:cs="Arial"/>
                <w:color w:val="000000"/>
                <w:sz w:val="22"/>
                <w:szCs w:val="22"/>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r w:rsidRPr="005F21DD">
              <w:rPr>
                <w:rFonts w:ascii="Arial" w:hAnsi="Arial" w:cs="Arial"/>
                <w:noProof/>
                <w:color w:val="000000"/>
                <w:sz w:val="22"/>
                <w:szCs w:val="22"/>
              </w:rPr>
              <w:drawing>
                <wp:anchor distT="0" distB="0" distL="114300" distR="114300" simplePos="0" relativeHeight="251660288" behindDoc="0" locked="0" layoutInCell="1" allowOverlap="1">
                  <wp:simplePos x="0" y="0"/>
                  <wp:positionH relativeFrom="column">
                    <wp:posOffset>-812165</wp:posOffset>
                  </wp:positionH>
                  <wp:positionV relativeFrom="paragraph">
                    <wp:posOffset>146050</wp:posOffset>
                  </wp:positionV>
                  <wp:extent cx="5343525" cy="2590800"/>
                  <wp:effectExtent l="0" t="0" r="9525" b="0"/>
                  <wp:wrapNone/>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153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425"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sz w:val="20"/>
                <w:szCs w:val="20"/>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1485"/>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53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425"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sz w:val="20"/>
                <w:szCs w:val="20"/>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80"/>
        </w:trPr>
        <w:tc>
          <w:tcPr>
            <w:tcW w:w="422"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53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1425"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2085" w:type="dxa"/>
            <w:tcBorders>
              <w:top w:val="nil"/>
              <w:left w:val="nil"/>
              <w:bottom w:val="nil"/>
              <w:right w:val="nil"/>
            </w:tcBorders>
            <w:shd w:val="clear" w:color="auto" w:fill="auto"/>
            <w:vAlign w:val="bottom"/>
            <w:hideMark/>
          </w:tcPr>
          <w:p w:rsidR="005F21DD" w:rsidRPr="005F21DD" w:rsidRDefault="005F21DD" w:rsidP="005F21DD">
            <w:pPr>
              <w:jc w:val="right"/>
              <w:rPr>
                <w:sz w:val="20"/>
                <w:szCs w:val="20"/>
              </w:rPr>
            </w:pPr>
          </w:p>
        </w:tc>
        <w:tc>
          <w:tcPr>
            <w:tcW w:w="1800" w:type="dxa"/>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c>
          <w:tcPr>
            <w:tcW w:w="900" w:type="dxa"/>
            <w:gridSpan w:val="2"/>
            <w:tcBorders>
              <w:top w:val="nil"/>
              <w:left w:val="nil"/>
              <w:bottom w:val="nil"/>
              <w:right w:val="nil"/>
            </w:tcBorders>
            <w:shd w:val="clear" w:color="auto" w:fill="auto"/>
            <w:vAlign w:val="bottom"/>
            <w:hideMark/>
          </w:tcPr>
          <w:p w:rsidR="005F21DD" w:rsidRPr="005F21DD" w:rsidRDefault="005F21DD" w:rsidP="005F21DD">
            <w:pPr>
              <w:jc w:val="center"/>
              <w:rPr>
                <w:sz w:val="20"/>
                <w:szCs w:val="20"/>
              </w:rPr>
            </w:pPr>
          </w:p>
        </w:tc>
      </w:tr>
      <w:tr w:rsidR="005F21DD" w:rsidRPr="005F21DD" w:rsidTr="005F21DD">
        <w:trPr>
          <w:trHeight w:val="435"/>
        </w:trPr>
        <w:tc>
          <w:tcPr>
            <w:tcW w:w="10800" w:type="dxa"/>
            <w:gridSpan w:val="9"/>
            <w:tcBorders>
              <w:top w:val="nil"/>
              <w:left w:val="nil"/>
              <w:bottom w:val="nil"/>
              <w:right w:val="nil"/>
            </w:tcBorders>
            <w:shd w:val="clear" w:color="auto" w:fill="auto"/>
            <w:vAlign w:val="bottom"/>
            <w:hideMark/>
          </w:tcPr>
          <w:p w:rsidR="005F21DD" w:rsidRPr="005F21DD" w:rsidRDefault="005F21DD" w:rsidP="005F21DD">
            <w:pPr>
              <w:jc w:val="center"/>
              <w:rPr>
                <w:rFonts w:ascii="Wide Latin" w:hAnsi="Wide Latin" w:cs="Arial"/>
                <w:color w:val="000000"/>
              </w:rPr>
            </w:pPr>
            <w:bookmarkStart w:id="1" w:name="RANGE!A23:H89"/>
            <w:r w:rsidRPr="005F21DD">
              <w:rPr>
                <w:rFonts w:ascii="Wide Latin" w:hAnsi="Wide Latin" w:cs="Arial"/>
                <w:color w:val="000000"/>
              </w:rPr>
              <w:t>Statement of Financial Position</w:t>
            </w:r>
            <w:bookmarkEnd w:id="1"/>
          </w:p>
        </w:tc>
      </w:tr>
      <w:tr w:rsidR="005F21DD" w:rsidRPr="005F21DD" w:rsidTr="005F21DD">
        <w:trPr>
          <w:trHeight w:val="1020"/>
        </w:trPr>
        <w:tc>
          <w:tcPr>
            <w:tcW w:w="10800" w:type="dxa"/>
            <w:gridSpan w:val="9"/>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b/>
                <w:bCs/>
                <w:color w:val="000000"/>
              </w:rPr>
              <w:t xml:space="preserve"> Cash</w:t>
            </w:r>
            <w:r w:rsidRPr="005F21DD">
              <w:rPr>
                <w:rFonts w:ascii="Calibri" w:hAnsi="Calibri" w:cs="Arial"/>
                <w:color w:val="000000"/>
              </w:rPr>
              <w:t xml:space="preserve"> -  Cash balance in the operating checking account started the year off with $316K and ended with $354.8K. Low balance on July 11th was $199K &amp; the high balance on September 2nd was $479K. Average daily balance is $340.4K. </w:t>
            </w:r>
          </w:p>
        </w:tc>
      </w:tr>
      <w:tr w:rsidR="005F21DD" w:rsidRPr="005F21DD" w:rsidTr="005F21DD">
        <w:trPr>
          <w:trHeight w:val="1620"/>
        </w:trPr>
        <w:tc>
          <w:tcPr>
            <w:tcW w:w="422" w:type="dxa"/>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p>
        </w:tc>
        <w:tc>
          <w:tcPr>
            <w:tcW w:w="1210" w:type="dxa"/>
            <w:tcBorders>
              <w:top w:val="nil"/>
              <w:left w:val="nil"/>
              <w:bottom w:val="nil"/>
              <w:right w:val="nil"/>
            </w:tcBorders>
            <w:shd w:val="clear" w:color="auto" w:fill="auto"/>
            <w:hideMark/>
          </w:tcPr>
          <w:p w:rsidR="005F21DD" w:rsidRPr="005F21DD" w:rsidRDefault="005F21DD" w:rsidP="005F21DD">
            <w:pPr>
              <w:rPr>
                <w:sz w:val="20"/>
                <w:szCs w:val="20"/>
              </w:rPr>
            </w:pPr>
            <w:r w:rsidRPr="005F21DD">
              <w:rPr>
                <w:rFonts w:ascii="Wingdings" w:hAnsi="Wingdings" w:cs="Arial"/>
                <w:noProof/>
                <w:color w:val="000000"/>
              </w:rPr>
              <w:drawing>
                <wp:anchor distT="0" distB="0" distL="114300" distR="114300" simplePos="0" relativeHeight="251659264" behindDoc="0" locked="0" layoutInCell="1" allowOverlap="1">
                  <wp:simplePos x="0" y="0"/>
                  <wp:positionH relativeFrom="column">
                    <wp:posOffset>-260985</wp:posOffset>
                  </wp:positionH>
                  <wp:positionV relativeFrom="paragraph">
                    <wp:posOffset>62865</wp:posOffset>
                  </wp:positionV>
                  <wp:extent cx="6534150" cy="2419350"/>
                  <wp:effectExtent l="0" t="0" r="0" b="0"/>
                  <wp:wrapNone/>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80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900" w:type="dxa"/>
            <w:gridSpan w:val="2"/>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162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80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900" w:type="dxa"/>
            <w:gridSpan w:val="2"/>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162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80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900" w:type="dxa"/>
            <w:gridSpan w:val="2"/>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1260"/>
        </w:trPr>
        <w:tc>
          <w:tcPr>
            <w:tcW w:w="10800" w:type="dxa"/>
            <w:gridSpan w:val="9"/>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b/>
                <w:bCs/>
                <w:color w:val="000000"/>
              </w:rPr>
              <w:t xml:space="preserve"> Investment - Infinex Financial-Securities</w:t>
            </w:r>
            <w:r w:rsidRPr="005F21DD">
              <w:rPr>
                <w:rFonts w:ascii="Calibri" w:hAnsi="Calibri" w:cs="Arial"/>
                <w:color w:val="000000"/>
              </w:rPr>
              <w:t xml:space="preserve"> - As of December 31, 2016, investment account value is $154,533. During the month of November 2016 all remaining cash $42,140 was equally invested in six mutual funds. During the month of  December 2016, the automatic purchase settings were not updated and another $12,000 in mutual funds were purchased which generated cash to be overdrawn by $12,000. Per Tim Bartholomew, error has been corrected by reversing the transaction. </w:t>
            </w:r>
          </w:p>
        </w:tc>
      </w:tr>
      <w:tr w:rsidR="005F21DD" w:rsidRPr="005F21DD" w:rsidTr="005F21DD">
        <w:trPr>
          <w:trHeight w:val="345"/>
        </w:trPr>
        <w:tc>
          <w:tcPr>
            <w:tcW w:w="422" w:type="dxa"/>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Beginning</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Purchases</w:t>
            </w: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Income</w:t>
            </w:r>
          </w:p>
        </w:tc>
        <w:tc>
          <w:tcPr>
            <w:tcW w:w="2085" w:type="dxa"/>
            <w:tcBorders>
              <w:top w:val="single" w:sz="4" w:space="0" w:color="auto"/>
              <w:left w:val="nil"/>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Unrealized Gains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Ending Balance</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Cash</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151,035.72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FF0000"/>
                <w:sz w:val="22"/>
                <w:szCs w:val="22"/>
              </w:rPr>
              <w:t>(164,901.61)</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1,865.92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0.00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FF0000"/>
                <w:sz w:val="22"/>
                <w:szCs w:val="22"/>
              </w:rPr>
              <w:t>(11,999.97)</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xml:space="preserve">FCISX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27,538.15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347.44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861.93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28,400.08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xml:space="preserve">FRUGX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27,428.59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237.88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FF0000"/>
                <w:sz w:val="22"/>
                <w:szCs w:val="22"/>
              </w:rPr>
              <w:t>(509.58)</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26,919.01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xml:space="preserve">FRGSX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28,070.53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879.82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FF0000"/>
                <w:sz w:val="22"/>
                <w:szCs w:val="22"/>
              </w:rPr>
              <w:t>(230.02)</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27,840.51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FCSCX</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27,254.71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64.00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FF0000"/>
                <w:sz w:val="22"/>
                <w:szCs w:val="22"/>
              </w:rPr>
              <w:t>(52.85)</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27,201.86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xml:space="preserve">FSGCX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27,299.64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108.95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207.55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27,507.19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TEGBX</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27,309.99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119.28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1,354.46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28,664.45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single" w:sz="4" w:space="0" w:color="auto"/>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428"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42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2085"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1800" w:type="dxa"/>
            <w:tcBorders>
              <w:top w:val="nil"/>
              <w:left w:val="nil"/>
              <w:bottom w:val="single" w:sz="4" w:space="0" w:color="auto"/>
              <w:right w:val="single" w:sz="4" w:space="0" w:color="auto"/>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w:t>
            </w:r>
          </w:p>
        </w:tc>
        <w:tc>
          <w:tcPr>
            <w:tcW w:w="900" w:type="dxa"/>
            <w:gridSpan w:val="2"/>
            <w:tcBorders>
              <w:top w:val="nil"/>
              <w:left w:val="nil"/>
              <w:bottom w:val="nil"/>
              <w:right w:val="nil"/>
            </w:tcBorders>
            <w:shd w:val="clear" w:color="auto" w:fill="auto"/>
            <w:noWrap/>
            <w:vAlign w:val="bottom"/>
            <w:hideMark/>
          </w:tcPr>
          <w:p w:rsidR="005F21DD" w:rsidRPr="005F21DD" w:rsidRDefault="005F21DD" w:rsidP="005F21DD">
            <w:pPr>
              <w:rPr>
                <w:rFonts w:ascii="Arial" w:hAnsi="Arial" w:cs="Arial"/>
                <w:color w:val="000000"/>
                <w:sz w:val="22"/>
                <w:szCs w:val="22"/>
              </w:rPr>
            </w:pPr>
          </w:p>
        </w:tc>
      </w:tr>
      <w:tr w:rsidR="005F21DD" w:rsidRPr="005F21DD" w:rsidTr="005F21DD">
        <w:trPr>
          <w:trHeight w:val="31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1428"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noWrap/>
            <w:vAlign w:val="bottom"/>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Totals</w:t>
            </w:r>
          </w:p>
        </w:tc>
        <w:tc>
          <w:tcPr>
            <w:tcW w:w="2085" w:type="dxa"/>
            <w:tcBorders>
              <w:top w:val="nil"/>
              <w:left w:val="nil"/>
              <w:bottom w:val="double" w:sz="6" w:space="0" w:color="auto"/>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1,631.49 </w:t>
            </w:r>
          </w:p>
        </w:tc>
        <w:tc>
          <w:tcPr>
            <w:tcW w:w="1800" w:type="dxa"/>
            <w:tcBorders>
              <w:top w:val="nil"/>
              <w:left w:val="nil"/>
              <w:bottom w:val="double" w:sz="6" w:space="0" w:color="auto"/>
              <w:right w:val="nil"/>
            </w:tcBorders>
            <w:shd w:val="clear" w:color="auto" w:fill="auto"/>
            <w:noWrap/>
            <w:vAlign w:val="bottom"/>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 xml:space="preserve">154,533.13 </w:t>
            </w:r>
          </w:p>
        </w:tc>
        <w:tc>
          <w:tcPr>
            <w:tcW w:w="900" w:type="dxa"/>
            <w:gridSpan w:val="2"/>
            <w:tcBorders>
              <w:top w:val="nil"/>
              <w:left w:val="nil"/>
              <w:bottom w:val="double" w:sz="6" w:space="0" w:color="auto"/>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2.32%</w:t>
            </w:r>
          </w:p>
        </w:tc>
      </w:tr>
      <w:tr w:rsidR="005F21DD" w:rsidRPr="005F21DD" w:rsidTr="005F21DD">
        <w:trPr>
          <w:trHeight w:val="315"/>
        </w:trPr>
        <w:tc>
          <w:tcPr>
            <w:tcW w:w="422" w:type="dxa"/>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c>
          <w:tcPr>
            <w:tcW w:w="1210" w:type="dxa"/>
            <w:tcBorders>
              <w:top w:val="nil"/>
              <w:left w:val="nil"/>
              <w:bottom w:val="nil"/>
              <w:right w:val="nil"/>
            </w:tcBorders>
            <w:shd w:val="clear" w:color="auto" w:fill="auto"/>
            <w:hideMark/>
          </w:tcPr>
          <w:p w:rsidR="005F21DD" w:rsidRDefault="005F21DD" w:rsidP="005F21DD">
            <w:pPr>
              <w:rPr>
                <w:sz w:val="20"/>
                <w:szCs w:val="20"/>
              </w:rPr>
            </w:pPr>
          </w:p>
          <w:p w:rsidR="005F21DD" w:rsidRDefault="005F21DD" w:rsidP="005F21DD">
            <w:pPr>
              <w:rPr>
                <w:sz w:val="20"/>
                <w:szCs w:val="20"/>
              </w:rPr>
            </w:pPr>
          </w:p>
          <w:p w:rsidR="005F21DD" w:rsidRDefault="005F21DD" w:rsidP="005F21DD">
            <w:pPr>
              <w:rPr>
                <w:sz w:val="20"/>
                <w:szCs w:val="20"/>
              </w:rPr>
            </w:pPr>
          </w:p>
          <w:p w:rsidR="005F21DD" w:rsidRPr="005F21DD" w:rsidRDefault="005F21DD" w:rsidP="005F21DD">
            <w:pP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80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900" w:type="dxa"/>
            <w:gridSpan w:val="2"/>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rPr>
                <w:rFonts w:ascii="Arial" w:hAnsi="Arial" w:cs="Arial"/>
                <w:color w:val="000000"/>
                <w:sz w:val="22"/>
                <w:szCs w:val="22"/>
              </w:rPr>
            </w:pPr>
            <w:r w:rsidRPr="005F21DD">
              <w:rPr>
                <w:rFonts w:ascii="Calibri" w:hAnsi="Calibri" w:cs="Arial"/>
                <w:b/>
                <w:bCs/>
                <w:color w:val="000000"/>
                <w:sz w:val="22"/>
                <w:szCs w:val="22"/>
              </w:rPr>
              <w:t>TEGBX</w:t>
            </w:r>
            <w:r w:rsidRPr="005F21DD">
              <w:rPr>
                <w:rFonts w:ascii="Arial" w:hAnsi="Arial" w:cs="Arial"/>
                <w:color w:val="000000"/>
                <w:sz w:val="22"/>
                <w:szCs w:val="22"/>
              </w:rPr>
              <w:t>-Templeton Global Bond Fund Class C - Strategy: The Fund seeks current income with capital appreciation and growth of income by investing at least 80% of its net assets in "bonds." In addition, the Fund's assets will be invested in issuers located in at least three countries including the U.S.</w:t>
            </w:r>
          </w:p>
        </w:tc>
        <w:tc>
          <w:tcPr>
            <w:tcW w:w="486" w:type="dxa"/>
            <w:tcBorders>
              <w:top w:val="nil"/>
              <w:left w:val="nil"/>
              <w:bottom w:val="nil"/>
              <w:right w:val="nil"/>
            </w:tcBorders>
            <w:shd w:val="clear" w:color="auto" w:fill="auto"/>
            <w:vAlign w:val="center"/>
            <w:hideMark/>
          </w:tcPr>
          <w:p w:rsidR="005F21DD" w:rsidRPr="005F21DD" w:rsidRDefault="005F21DD" w:rsidP="005F21DD">
            <w:pPr>
              <w:rPr>
                <w:rFonts w:ascii="Arial" w:hAnsi="Arial" w:cs="Arial"/>
                <w:color w:val="000000"/>
                <w:sz w:val="22"/>
                <w:szCs w:val="22"/>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rPr>
                <w:rFonts w:ascii="Arial" w:hAnsi="Arial" w:cs="Arial"/>
                <w:color w:val="000000"/>
                <w:sz w:val="22"/>
                <w:szCs w:val="22"/>
              </w:rPr>
            </w:pPr>
            <w:r w:rsidRPr="005F21DD">
              <w:rPr>
                <w:rFonts w:ascii="Calibri" w:hAnsi="Calibri" w:cs="Arial"/>
                <w:b/>
                <w:bCs/>
                <w:color w:val="000000"/>
                <w:sz w:val="22"/>
                <w:szCs w:val="22"/>
              </w:rPr>
              <w:t>FSGCX</w:t>
            </w:r>
            <w:r w:rsidRPr="005F21DD">
              <w:rPr>
                <w:rFonts w:ascii="Arial" w:hAnsi="Arial" w:cs="Arial"/>
                <w:color w:val="000000"/>
                <w:sz w:val="22"/>
                <w:szCs w:val="22"/>
              </w:rPr>
              <w:t>-Franklin Templeton Strategic Income Fund Class C - Strategy: The Fund seeks to earn a high level of current income. Its secondary goal is capital appreciation over the long term. The Fund invests at least 65% of its assets in U.S. and foreign debt securities.</w:t>
            </w:r>
          </w:p>
        </w:tc>
        <w:tc>
          <w:tcPr>
            <w:tcW w:w="486" w:type="dxa"/>
            <w:tcBorders>
              <w:top w:val="nil"/>
              <w:left w:val="nil"/>
              <w:bottom w:val="nil"/>
              <w:right w:val="nil"/>
            </w:tcBorders>
            <w:shd w:val="clear" w:color="auto" w:fill="auto"/>
            <w:vAlign w:val="center"/>
            <w:hideMark/>
          </w:tcPr>
          <w:p w:rsidR="005F21DD" w:rsidRPr="005F21DD" w:rsidRDefault="005F21DD" w:rsidP="005F21DD">
            <w:pPr>
              <w:rPr>
                <w:rFonts w:ascii="Arial" w:hAnsi="Arial" w:cs="Arial"/>
                <w:color w:val="000000"/>
                <w:sz w:val="22"/>
                <w:szCs w:val="22"/>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rPr>
                <w:rFonts w:ascii="Arial" w:hAnsi="Arial" w:cs="Arial"/>
                <w:color w:val="000000"/>
                <w:sz w:val="22"/>
                <w:szCs w:val="22"/>
              </w:rPr>
            </w:pPr>
            <w:r w:rsidRPr="005F21DD">
              <w:rPr>
                <w:rFonts w:ascii="Calibri" w:hAnsi="Calibri" w:cs="Arial"/>
                <w:b/>
                <w:bCs/>
                <w:color w:val="000000"/>
                <w:sz w:val="22"/>
                <w:szCs w:val="22"/>
              </w:rPr>
              <w:t>FCSCX</w:t>
            </w:r>
            <w:r w:rsidRPr="005F21DD">
              <w:rPr>
                <w:rFonts w:ascii="Arial" w:hAnsi="Arial" w:cs="Arial"/>
                <w:color w:val="000000"/>
                <w:sz w:val="22"/>
                <w:szCs w:val="22"/>
              </w:rPr>
              <w:t>-Franklin Adjustable US Government Securities Fund Class C- Strategy: The Fund seeks a high level of current income while providing lower volatility of principal than a fund that invests in fixed-rate securities. The Fund invests at least 80% of its net assets in adjustable-rate U.S. government mortgage securities.</w:t>
            </w:r>
          </w:p>
        </w:tc>
        <w:tc>
          <w:tcPr>
            <w:tcW w:w="486" w:type="dxa"/>
            <w:tcBorders>
              <w:top w:val="nil"/>
              <w:left w:val="nil"/>
              <w:bottom w:val="nil"/>
              <w:right w:val="nil"/>
            </w:tcBorders>
            <w:shd w:val="clear" w:color="auto" w:fill="auto"/>
            <w:vAlign w:val="center"/>
            <w:hideMark/>
          </w:tcPr>
          <w:p w:rsidR="005F21DD" w:rsidRPr="005F21DD" w:rsidRDefault="005F21DD" w:rsidP="005F21DD">
            <w:pPr>
              <w:rPr>
                <w:rFonts w:ascii="Arial" w:hAnsi="Arial" w:cs="Arial"/>
                <w:color w:val="000000"/>
                <w:sz w:val="22"/>
                <w:szCs w:val="22"/>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rPr>
                <w:rFonts w:ascii="Arial" w:hAnsi="Arial" w:cs="Arial"/>
                <w:color w:val="000000"/>
                <w:sz w:val="22"/>
                <w:szCs w:val="22"/>
              </w:rPr>
            </w:pPr>
            <w:r w:rsidRPr="005F21DD">
              <w:rPr>
                <w:rFonts w:ascii="Calibri" w:hAnsi="Calibri" w:cs="Arial"/>
                <w:b/>
                <w:bCs/>
                <w:color w:val="000000"/>
                <w:sz w:val="22"/>
                <w:szCs w:val="22"/>
              </w:rPr>
              <w:t>FRGSX</w:t>
            </w:r>
            <w:r w:rsidRPr="005F21DD">
              <w:rPr>
                <w:rFonts w:ascii="Arial" w:hAnsi="Arial" w:cs="Arial"/>
                <w:color w:val="000000"/>
                <w:sz w:val="22"/>
                <w:szCs w:val="22"/>
              </w:rPr>
              <w:t>-Franklin Growth Series Class C- Strategy: The Fund seeks capital appreciation. The Fund primarily invests in equity securities that are leaders in their industries.</w:t>
            </w:r>
          </w:p>
        </w:tc>
        <w:tc>
          <w:tcPr>
            <w:tcW w:w="486" w:type="dxa"/>
            <w:tcBorders>
              <w:top w:val="nil"/>
              <w:left w:val="nil"/>
              <w:bottom w:val="nil"/>
              <w:right w:val="nil"/>
            </w:tcBorders>
            <w:shd w:val="clear" w:color="auto" w:fill="auto"/>
            <w:vAlign w:val="center"/>
            <w:hideMark/>
          </w:tcPr>
          <w:p w:rsidR="005F21DD" w:rsidRPr="005F21DD" w:rsidRDefault="005F21DD" w:rsidP="005F21DD">
            <w:pPr>
              <w:rPr>
                <w:rFonts w:ascii="Arial" w:hAnsi="Arial" w:cs="Arial"/>
                <w:color w:val="000000"/>
                <w:sz w:val="22"/>
                <w:szCs w:val="22"/>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rPr>
                <w:rFonts w:ascii="Arial" w:hAnsi="Arial" w:cs="Arial"/>
                <w:color w:val="000000"/>
                <w:sz w:val="22"/>
                <w:szCs w:val="22"/>
              </w:rPr>
            </w:pPr>
            <w:r w:rsidRPr="005F21DD">
              <w:rPr>
                <w:rFonts w:ascii="Calibri" w:hAnsi="Calibri" w:cs="Arial"/>
                <w:b/>
                <w:bCs/>
                <w:color w:val="000000"/>
                <w:sz w:val="22"/>
                <w:szCs w:val="22"/>
              </w:rPr>
              <w:t>FRUGX</w:t>
            </w:r>
            <w:r w:rsidRPr="005F21DD">
              <w:rPr>
                <w:rFonts w:ascii="Arial" w:hAnsi="Arial" w:cs="Arial"/>
                <w:color w:val="000000"/>
                <w:sz w:val="22"/>
                <w:szCs w:val="22"/>
              </w:rPr>
              <w:t>-Franklin US Government Securities Series Class C- Strategy: The Fund seeks income. Under normal market conditions, the Fund invests at least 80% of its net assets in U.S. government securities. The Fund presently invests substantially all of its assets in Government National Mortgage Association obligations (Ginnie Maes).</w:t>
            </w:r>
          </w:p>
        </w:tc>
        <w:tc>
          <w:tcPr>
            <w:tcW w:w="486" w:type="dxa"/>
            <w:tcBorders>
              <w:top w:val="nil"/>
              <w:left w:val="nil"/>
              <w:bottom w:val="nil"/>
              <w:right w:val="nil"/>
            </w:tcBorders>
            <w:shd w:val="clear" w:color="auto" w:fill="auto"/>
            <w:vAlign w:val="center"/>
            <w:hideMark/>
          </w:tcPr>
          <w:p w:rsidR="005F21DD" w:rsidRPr="005F21DD" w:rsidRDefault="005F21DD" w:rsidP="005F21DD">
            <w:pPr>
              <w:rPr>
                <w:rFonts w:ascii="Arial" w:hAnsi="Arial" w:cs="Arial"/>
                <w:color w:val="000000"/>
                <w:sz w:val="22"/>
                <w:szCs w:val="22"/>
              </w:rPr>
            </w:pPr>
          </w:p>
        </w:tc>
      </w:tr>
      <w:tr w:rsidR="005F21DD" w:rsidRPr="005F21DD" w:rsidTr="005F21DD">
        <w:trPr>
          <w:trHeight w:val="945"/>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9892" w:type="dxa"/>
            <w:gridSpan w:val="7"/>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spacing w:after="240"/>
              <w:rPr>
                <w:rFonts w:ascii="Arial" w:hAnsi="Arial" w:cs="Arial"/>
                <w:color w:val="000000"/>
                <w:sz w:val="22"/>
                <w:szCs w:val="22"/>
              </w:rPr>
            </w:pPr>
            <w:r w:rsidRPr="005F21DD">
              <w:rPr>
                <w:rFonts w:ascii="Calibri" w:hAnsi="Calibri" w:cs="Arial"/>
                <w:b/>
                <w:bCs/>
                <w:color w:val="000000"/>
                <w:sz w:val="22"/>
                <w:szCs w:val="22"/>
              </w:rPr>
              <w:t>FCISX</w:t>
            </w:r>
            <w:r w:rsidRPr="005F21DD">
              <w:rPr>
                <w:rFonts w:ascii="Arial" w:hAnsi="Arial" w:cs="Arial"/>
                <w:color w:val="000000"/>
                <w:sz w:val="22"/>
                <w:szCs w:val="22"/>
              </w:rPr>
              <w:t xml:space="preserve">-Franklin Income Series Class C- Strategy: The Fund seeks to maximize income while maintaining prospects for capital appreciation. The Fund will achieve this by investing in a diversified portfolio of debt and equity securities. </w:t>
            </w:r>
          </w:p>
        </w:tc>
        <w:tc>
          <w:tcPr>
            <w:tcW w:w="486" w:type="dxa"/>
            <w:tcBorders>
              <w:top w:val="nil"/>
              <w:left w:val="nil"/>
              <w:bottom w:val="nil"/>
              <w:right w:val="nil"/>
            </w:tcBorders>
            <w:shd w:val="clear" w:color="auto" w:fill="auto"/>
            <w:vAlign w:val="center"/>
            <w:hideMark/>
          </w:tcPr>
          <w:p w:rsidR="005F21DD" w:rsidRPr="005F21DD" w:rsidRDefault="005F21DD" w:rsidP="005F21DD">
            <w:pPr>
              <w:spacing w:after="240"/>
              <w:rPr>
                <w:rFonts w:ascii="Arial" w:hAnsi="Arial" w:cs="Arial"/>
                <w:color w:val="000000"/>
                <w:sz w:val="22"/>
                <w:szCs w:val="22"/>
              </w:rPr>
            </w:pPr>
          </w:p>
        </w:tc>
      </w:tr>
      <w:tr w:rsidR="005F21DD" w:rsidRPr="005F21DD" w:rsidTr="005F21DD">
        <w:trPr>
          <w:trHeight w:val="150"/>
        </w:trPr>
        <w:tc>
          <w:tcPr>
            <w:tcW w:w="422" w:type="dxa"/>
            <w:tcBorders>
              <w:top w:val="nil"/>
              <w:left w:val="nil"/>
              <w:bottom w:val="nil"/>
              <w:right w:val="nil"/>
            </w:tcBorders>
            <w:shd w:val="clear" w:color="auto" w:fill="auto"/>
            <w:hideMark/>
          </w:tcPr>
          <w:p w:rsidR="005F21DD" w:rsidRPr="005F21DD" w:rsidRDefault="005F21DD" w:rsidP="005F21DD">
            <w:pPr>
              <w:jc w:val="cente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214" w:type="dxa"/>
            <w:gridSpan w:val="2"/>
            <w:tcBorders>
              <w:top w:val="nil"/>
              <w:left w:val="nil"/>
              <w:bottom w:val="nil"/>
              <w:right w:val="nil"/>
            </w:tcBorders>
            <w:shd w:val="clear" w:color="auto" w:fill="auto"/>
            <w:hideMark/>
          </w:tcPr>
          <w:p w:rsidR="005F21DD" w:rsidRPr="005F21DD" w:rsidRDefault="005F21DD" w:rsidP="005F21DD">
            <w:pPr>
              <w:rPr>
                <w:sz w:val="20"/>
                <w:szCs w:val="20"/>
              </w:rPr>
            </w:pPr>
          </w:p>
        </w:tc>
        <w:tc>
          <w:tcPr>
            <w:tcW w:w="486" w:type="dxa"/>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510"/>
        </w:trPr>
        <w:tc>
          <w:tcPr>
            <w:tcW w:w="10800" w:type="dxa"/>
            <w:gridSpan w:val="9"/>
            <w:tcBorders>
              <w:top w:val="nil"/>
              <w:left w:val="nil"/>
              <w:bottom w:val="nil"/>
              <w:right w:val="nil"/>
            </w:tcBorders>
            <w:shd w:val="clear" w:color="auto" w:fill="auto"/>
            <w:vAlign w:val="bottom"/>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b/>
                <w:bCs/>
                <w:color w:val="000000"/>
              </w:rPr>
              <w:t xml:space="preserve"> Equipment, Furniture &amp; Vehicles</w:t>
            </w:r>
            <w:r w:rsidRPr="005F21DD">
              <w:rPr>
                <w:rFonts w:ascii="Calibri" w:hAnsi="Calibri" w:cs="Arial"/>
                <w:color w:val="000000"/>
              </w:rPr>
              <w:t xml:space="preserve"> -Agency purchased the following capital equipment. </w:t>
            </w: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rsidR="005F21DD" w:rsidRPr="005F21DD" w:rsidRDefault="005F21DD" w:rsidP="005F21DD">
            <w:pPr>
              <w:jc w:val="center"/>
              <w:rPr>
                <w:rFonts w:ascii="Calibri" w:hAnsi="Calibri" w:cs="Arial"/>
                <w:b/>
                <w:bCs/>
                <w:color w:val="000000"/>
                <w:sz w:val="22"/>
                <w:szCs w:val="22"/>
              </w:rPr>
            </w:pPr>
            <w:r w:rsidRPr="005F21DD">
              <w:rPr>
                <w:rFonts w:ascii="Calibri" w:hAnsi="Calibri" w:cs="Arial"/>
                <w:b/>
                <w:bCs/>
                <w:color w:val="000000"/>
                <w:sz w:val="22"/>
                <w:szCs w:val="22"/>
              </w:rPr>
              <w:t>Month in Service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5F21DD" w:rsidRPr="005F21DD" w:rsidRDefault="005F21DD" w:rsidP="005F21DD">
            <w:pPr>
              <w:jc w:val="center"/>
              <w:rPr>
                <w:rFonts w:ascii="Calibri" w:hAnsi="Calibri" w:cs="Arial"/>
                <w:b/>
                <w:bCs/>
                <w:color w:val="000000"/>
                <w:sz w:val="22"/>
                <w:szCs w:val="22"/>
              </w:rPr>
            </w:pPr>
            <w:r w:rsidRPr="005F21DD">
              <w:rPr>
                <w:rFonts w:ascii="Calibri" w:hAnsi="Calibri" w:cs="Arial"/>
                <w:b/>
                <w:bCs/>
                <w:color w:val="000000"/>
                <w:sz w:val="22"/>
                <w:szCs w:val="22"/>
              </w:rPr>
              <w:t>Funding Source</w:t>
            </w:r>
          </w:p>
        </w:tc>
        <w:tc>
          <w:tcPr>
            <w:tcW w:w="1530" w:type="dxa"/>
            <w:tcBorders>
              <w:top w:val="single" w:sz="4" w:space="0" w:color="auto"/>
              <w:left w:val="nil"/>
              <w:bottom w:val="single" w:sz="4" w:space="0" w:color="auto"/>
              <w:right w:val="single" w:sz="4" w:space="0" w:color="auto"/>
            </w:tcBorders>
            <w:shd w:val="clear" w:color="auto" w:fill="auto"/>
            <w:hideMark/>
          </w:tcPr>
          <w:p w:rsidR="005F21DD" w:rsidRPr="005F21DD" w:rsidRDefault="005F21DD" w:rsidP="005F21DD">
            <w:pPr>
              <w:jc w:val="center"/>
              <w:rPr>
                <w:rFonts w:ascii="Calibri" w:hAnsi="Calibri" w:cs="Arial"/>
                <w:b/>
                <w:bCs/>
                <w:color w:val="000000"/>
                <w:sz w:val="22"/>
                <w:szCs w:val="22"/>
              </w:rPr>
            </w:pPr>
            <w:r w:rsidRPr="005F21DD">
              <w:rPr>
                <w:rFonts w:ascii="Calibri" w:hAnsi="Calibri" w:cs="Arial"/>
                <w:b/>
                <w:bCs/>
                <w:color w:val="000000"/>
                <w:sz w:val="22"/>
                <w:szCs w:val="22"/>
              </w:rPr>
              <w:t>Supplier</w:t>
            </w:r>
          </w:p>
        </w:tc>
        <w:tc>
          <w:tcPr>
            <w:tcW w:w="3510" w:type="dxa"/>
            <w:gridSpan w:val="2"/>
            <w:tcBorders>
              <w:top w:val="single" w:sz="4" w:space="0" w:color="auto"/>
              <w:left w:val="nil"/>
              <w:bottom w:val="single" w:sz="4" w:space="0" w:color="auto"/>
              <w:right w:val="single" w:sz="4" w:space="0" w:color="auto"/>
            </w:tcBorders>
            <w:shd w:val="clear" w:color="auto" w:fill="auto"/>
            <w:hideMark/>
          </w:tcPr>
          <w:p w:rsidR="005F21DD" w:rsidRPr="005F21DD" w:rsidRDefault="005F21DD" w:rsidP="005F21DD">
            <w:pPr>
              <w:jc w:val="center"/>
              <w:rPr>
                <w:rFonts w:ascii="Calibri" w:hAnsi="Calibri" w:cs="Arial"/>
                <w:b/>
                <w:bCs/>
                <w:color w:val="000000"/>
                <w:sz w:val="22"/>
                <w:szCs w:val="22"/>
              </w:rPr>
            </w:pPr>
            <w:r w:rsidRPr="005F21DD">
              <w:rPr>
                <w:rFonts w:ascii="Calibri" w:hAnsi="Calibri" w:cs="Arial"/>
                <w:b/>
                <w:bCs/>
                <w:color w:val="000000"/>
                <w:sz w:val="22"/>
                <w:szCs w:val="22"/>
              </w:rPr>
              <w:t>Description</w:t>
            </w:r>
          </w:p>
        </w:tc>
        <w:tc>
          <w:tcPr>
            <w:tcW w:w="1800" w:type="dxa"/>
            <w:tcBorders>
              <w:top w:val="single" w:sz="4" w:space="0" w:color="auto"/>
              <w:left w:val="nil"/>
              <w:bottom w:val="single" w:sz="4" w:space="0" w:color="auto"/>
              <w:right w:val="single" w:sz="4" w:space="0" w:color="auto"/>
            </w:tcBorders>
            <w:shd w:val="clear" w:color="auto" w:fill="auto"/>
            <w:hideMark/>
          </w:tcPr>
          <w:p w:rsidR="005F21DD" w:rsidRPr="005F21DD" w:rsidRDefault="005F21DD" w:rsidP="005F21DD">
            <w:pPr>
              <w:jc w:val="center"/>
              <w:rPr>
                <w:rFonts w:ascii="Calibri" w:hAnsi="Calibri" w:cs="Arial"/>
                <w:b/>
                <w:bCs/>
                <w:color w:val="000000"/>
                <w:sz w:val="22"/>
                <w:szCs w:val="22"/>
              </w:rPr>
            </w:pPr>
            <w:r w:rsidRPr="005F21DD">
              <w:rPr>
                <w:rFonts w:ascii="Calibri" w:hAnsi="Calibri" w:cs="Arial"/>
                <w:b/>
                <w:bCs/>
                <w:color w:val="000000"/>
                <w:sz w:val="22"/>
                <w:szCs w:val="22"/>
              </w:rPr>
              <w:t>Cost</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Calibri" w:hAnsi="Calibri" w:cs="Arial"/>
                <w:b/>
                <w:bCs/>
                <w:color w:val="000000"/>
                <w:sz w:val="22"/>
                <w:szCs w:val="22"/>
              </w:rPr>
            </w:pPr>
          </w:p>
        </w:tc>
      </w:tr>
      <w:tr w:rsidR="005F21DD" w:rsidRPr="005F21DD" w:rsidTr="005F21DD">
        <w:trPr>
          <w:trHeight w:val="57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Apr-16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OFA: NY Connects</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Intelligent Tech Solutions </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Dell Optiplex 9030 Computer</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$1,343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57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Apr-16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OFA: NYC - EEP</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Intelligent Tech Solutions </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Dell Optiplex 9030 Computer</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1,210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855"/>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Jul-16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OFA: NYC - EEP</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Standard Commercial Interiors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Workstation/Desk</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1,319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57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Aug-16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Navigator Program</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Intelligent Tech Solutions </w:t>
            </w:r>
          </w:p>
        </w:tc>
        <w:tc>
          <w:tcPr>
            <w:tcW w:w="3510" w:type="dxa"/>
            <w:gridSpan w:val="2"/>
            <w:tcBorders>
              <w:top w:val="single" w:sz="4" w:space="0" w:color="auto"/>
              <w:left w:val="nil"/>
              <w:bottom w:val="single" w:sz="4" w:space="0" w:color="auto"/>
              <w:right w:val="single" w:sz="4" w:space="0" w:color="000000"/>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Dell Latitude 5000 Laptop</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1,866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57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Aug-16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Cancer Services Program</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Intelligent Tech Solutions </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Dell Optiplex 24 Computer</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1,388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57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single" w:sz="4" w:space="0" w:color="auto"/>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Dec-16</w:t>
            </w:r>
          </w:p>
        </w:tc>
        <w:tc>
          <w:tcPr>
            <w:tcW w:w="1428"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OFA: NYC - EEP</w:t>
            </w:r>
          </w:p>
        </w:tc>
        <w:tc>
          <w:tcPr>
            <w:tcW w:w="153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Intelligent Tech Solutions </w:t>
            </w:r>
          </w:p>
        </w:tc>
        <w:tc>
          <w:tcPr>
            <w:tcW w:w="3510" w:type="dxa"/>
            <w:gridSpan w:val="2"/>
            <w:tcBorders>
              <w:top w:val="single" w:sz="4" w:space="0" w:color="auto"/>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Dell Latitidue 3570 Laptop</w:t>
            </w:r>
          </w:p>
        </w:tc>
        <w:tc>
          <w:tcPr>
            <w:tcW w:w="1800" w:type="dxa"/>
            <w:tcBorders>
              <w:top w:val="nil"/>
              <w:left w:val="nil"/>
              <w:bottom w:val="single" w:sz="4" w:space="0" w:color="auto"/>
              <w:right w:val="single" w:sz="4" w:space="0" w:color="auto"/>
            </w:tcBorders>
            <w:shd w:val="clear" w:color="auto" w:fill="auto"/>
            <w:vAlign w:val="center"/>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                     1,425 </w:t>
            </w:r>
          </w:p>
        </w:tc>
        <w:tc>
          <w:tcPr>
            <w:tcW w:w="900" w:type="dxa"/>
            <w:gridSpan w:val="2"/>
            <w:tcBorders>
              <w:top w:val="nil"/>
              <w:left w:val="nil"/>
              <w:bottom w:val="nil"/>
              <w:right w:val="nil"/>
            </w:tcBorders>
            <w:shd w:val="clear" w:color="auto" w:fill="auto"/>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00"/>
        </w:trPr>
        <w:tc>
          <w:tcPr>
            <w:tcW w:w="42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8"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53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25"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085" w:type="dxa"/>
            <w:tcBorders>
              <w:top w:val="nil"/>
              <w:left w:val="nil"/>
              <w:bottom w:val="nil"/>
              <w:right w:val="nil"/>
            </w:tcBorders>
            <w:shd w:val="clear" w:color="auto" w:fill="auto"/>
            <w:hideMark/>
          </w:tcPr>
          <w:p w:rsidR="005F21DD" w:rsidRPr="005F21DD" w:rsidRDefault="005F21DD" w:rsidP="005F21DD">
            <w:pPr>
              <w:jc w:val="right"/>
              <w:rPr>
                <w:rFonts w:ascii="Arial" w:hAnsi="Arial" w:cs="Arial"/>
                <w:color w:val="000000"/>
                <w:sz w:val="22"/>
                <w:szCs w:val="22"/>
              </w:rPr>
            </w:pPr>
            <w:r w:rsidRPr="005F21DD">
              <w:rPr>
                <w:rFonts w:ascii="Arial" w:hAnsi="Arial" w:cs="Arial"/>
                <w:color w:val="000000"/>
                <w:sz w:val="22"/>
                <w:szCs w:val="22"/>
              </w:rPr>
              <w:t>Total</w:t>
            </w:r>
          </w:p>
        </w:tc>
        <w:tc>
          <w:tcPr>
            <w:tcW w:w="1800" w:type="dxa"/>
            <w:tcBorders>
              <w:top w:val="nil"/>
              <w:left w:val="single" w:sz="4" w:space="0" w:color="auto"/>
              <w:bottom w:val="single" w:sz="4" w:space="0" w:color="auto"/>
              <w:right w:val="single" w:sz="4" w:space="0" w:color="auto"/>
            </w:tcBorders>
            <w:shd w:val="clear" w:color="auto" w:fill="auto"/>
            <w:hideMark/>
          </w:tcPr>
          <w:p w:rsidR="005F21DD" w:rsidRPr="005F21DD" w:rsidRDefault="005F21DD" w:rsidP="005F21DD">
            <w:pPr>
              <w:rPr>
                <w:rFonts w:ascii="Arial" w:hAnsi="Arial" w:cs="Arial"/>
                <w:color w:val="000000"/>
                <w:sz w:val="22"/>
                <w:szCs w:val="22"/>
              </w:rPr>
            </w:pPr>
            <w:r w:rsidRPr="005F21DD">
              <w:rPr>
                <w:rFonts w:ascii="Arial" w:hAnsi="Arial" w:cs="Arial"/>
                <w:color w:val="000000"/>
                <w:sz w:val="22"/>
                <w:szCs w:val="22"/>
              </w:rPr>
              <w:t xml:space="preserve"> $   8,551 </w:t>
            </w:r>
          </w:p>
        </w:tc>
        <w:tc>
          <w:tcPr>
            <w:tcW w:w="900" w:type="dxa"/>
            <w:gridSpan w:val="2"/>
            <w:tcBorders>
              <w:top w:val="nil"/>
              <w:left w:val="nil"/>
              <w:bottom w:val="nil"/>
              <w:right w:val="nil"/>
            </w:tcBorders>
            <w:shd w:val="clear" w:color="auto" w:fill="auto"/>
            <w:hideMark/>
          </w:tcPr>
          <w:p w:rsidR="005F21DD" w:rsidRPr="005F21DD" w:rsidRDefault="005F21DD" w:rsidP="005F21DD">
            <w:pPr>
              <w:rPr>
                <w:rFonts w:ascii="Arial" w:hAnsi="Arial" w:cs="Arial"/>
                <w:color w:val="000000"/>
                <w:sz w:val="22"/>
                <w:szCs w:val="22"/>
              </w:rPr>
            </w:pPr>
          </w:p>
        </w:tc>
      </w:tr>
    </w:tbl>
    <w:p w:rsidR="005F21DD" w:rsidRDefault="005F21DD">
      <w:r>
        <w:br w:type="page"/>
      </w:r>
    </w:p>
    <w:tbl>
      <w:tblPr>
        <w:tblW w:w="10800" w:type="dxa"/>
        <w:tblLook w:val="04A0" w:firstRow="1" w:lastRow="0" w:firstColumn="1" w:lastColumn="0" w:noHBand="0" w:noVBand="1"/>
      </w:tblPr>
      <w:tblGrid>
        <w:gridCol w:w="419"/>
        <w:gridCol w:w="1217"/>
        <w:gridCol w:w="1286"/>
        <w:gridCol w:w="1433"/>
        <w:gridCol w:w="1657"/>
        <w:gridCol w:w="2570"/>
        <w:gridCol w:w="1402"/>
        <w:gridCol w:w="816"/>
      </w:tblGrid>
      <w:tr w:rsidR="005F21DD" w:rsidRPr="005F21DD" w:rsidTr="005F21DD">
        <w:trPr>
          <w:trHeight w:val="225"/>
        </w:trPr>
        <w:tc>
          <w:tcPr>
            <w:tcW w:w="419"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286"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33"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657"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2570"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1402" w:type="dxa"/>
            <w:tcBorders>
              <w:top w:val="nil"/>
              <w:left w:val="nil"/>
              <w:bottom w:val="nil"/>
              <w:right w:val="nil"/>
            </w:tcBorders>
            <w:shd w:val="clear" w:color="auto" w:fill="auto"/>
            <w:hideMark/>
          </w:tcPr>
          <w:p w:rsidR="005F21DD" w:rsidRPr="005F21DD" w:rsidRDefault="005F21DD" w:rsidP="005F21DD">
            <w:pPr>
              <w:rPr>
                <w:sz w:val="20"/>
                <w:szCs w:val="20"/>
              </w:rPr>
            </w:pPr>
          </w:p>
        </w:tc>
        <w:tc>
          <w:tcPr>
            <w:tcW w:w="816" w:type="dxa"/>
            <w:tcBorders>
              <w:top w:val="nil"/>
              <w:left w:val="nil"/>
              <w:bottom w:val="nil"/>
              <w:right w:val="nil"/>
            </w:tcBorders>
            <w:shd w:val="clear" w:color="auto" w:fill="auto"/>
            <w:hideMark/>
          </w:tcPr>
          <w:p w:rsidR="005F21DD" w:rsidRPr="005F21DD" w:rsidRDefault="005F21DD" w:rsidP="005F21DD">
            <w:pPr>
              <w:rPr>
                <w:sz w:val="20"/>
                <w:szCs w:val="20"/>
              </w:rPr>
            </w:pPr>
          </w:p>
        </w:tc>
      </w:tr>
      <w:tr w:rsidR="005F21DD" w:rsidRPr="005F21DD" w:rsidTr="005F21DD">
        <w:trPr>
          <w:trHeight w:val="750"/>
        </w:trPr>
        <w:tc>
          <w:tcPr>
            <w:tcW w:w="10800" w:type="dxa"/>
            <w:gridSpan w:val="8"/>
            <w:tcBorders>
              <w:top w:val="nil"/>
              <w:left w:val="nil"/>
              <w:bottom w:val="nil"/>
              <w:right w:val="nil"/>
            </w:tcBorders>
            <w:shd w:val="clear" w:color="auto" w:fill="auto"/>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b/>
                <w:bCs/>
                <w:color w:val="000000"/>
              </w:rPr>
              <w:t xml:space="preserve">Accounts Payable - </w:t>
            </w:r>
            <w:r w:rsidRPr="005F21DD">
              <w:rPr>
                <w:rFonts w:ascii="Calibri" w:hAnsi="Calibri" w:cs="Arial"/>
                <w:color w:val="000000"/>
              </w:rPr>
              <w:t xml:space="preserve">At December 31, 2016, accounts payable lability is $37,713 and all AP liability is being paid timely within 28 days except CSP Clinical Services which gets paid once NYS pays CCCHC. The following is a list of vendors who's liability exceed $1,000. </w:t>
            </w: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rFonts w:ascii="Wingdings" w:hAnsi="Wingdings" w:cs="Arial"/>
                <w:color w:val="00000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MHP SALUD</w:t>
            </w:r>
          </w:p>
        </w:tc>
        <w:tc>
          <w:tcPr>
            <w:tcW w:w="1657" w:type="dxa"/>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 xml:space="preserve"> </w:t>
            </w:r>
            <w:r>
              <w:rPr>
                <w:color w:val="000000"/>
              </w:rPr>
              <w:t xml:space="preserve">          </w:t>
            </w:r>
            <w:r w:rsidRPr="005F21DD">
              <w:rPr>
                <w:color w:val="000000"/>
              </w:rPr>
              <w:t xml:space="preserve">$  3,121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Community Health Worker Training</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Marvin and Company</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 xml:space="preserve">                  2,352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Progress billing for 2016 Audit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Columbia County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 xml:space="preserve">                  2,758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Vehicle Fuel, Lease Paymt &amp; Repairs</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Intelligent Technology Solutions</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 xml:space="preserve">                  1,425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 xml:space="preserve">Laptop Computer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Cascades</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 xml:space="preserve">                  1,096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Community Health Worker Training</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noWrap/>
            <w:vAlign w:val="bottom"/>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Various Medical Providers</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 xml:space="preserve">                11,549 </w:t>
            </w:r>
          </w:p>
        </w:tc>
        <w:tc>
          <w:tcPr>
            <w:tcW w:w="3972" w:type="dxa"/>
            <w:gridSpan w:val="2"/>
            <w:tcBorders>
              <w:top w:val="nil"/>
              <w:left w:val="nil"/>
              <w:bottom w:val="nil"/>
              <w:right w:val="nil"/>
            </w:tcBorders>
            <w:shd w:val="clear" w:color="auto" w:fill="auto"/>
            <w:noWrap/>
            <w:vAlign w:val="bottom"/>
            <w:hideMark/>
          </w:tcPr>
          <w:p w:rsidR="005F21DD" w:rsidRPr="005F21DD" w:rsidRDefault="005F21DD" w:rsidP="005F21DD">
            <w:pPr>
              <w:jc w:val="center"/>
              <w:rPr>
                <w:rFonts w:ascii="Arial" w:hAnsi="Arial" w:cs="Arial"/>
                <w:color w:val="000000"/>
                <w:sz w:val="22"/>
                <w:szCs w:val="22"/>
              </w:rPr>
            </w:pPr>
            <w:r w:rsidRPr="005F21DD">
              <w:rPr>
                <w:rFonts w:ascii="Arial" w:hAnsi="Arial" w:cs="Arial"/>
                <w:color w:val="000000"/>
                <w:sz w:val="22"/>
                <w:szCs w:val="22"/>
              </w:rPr>
              <w:t>CSP Clinical Serices</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rFonts w:ascii="Arial" w:hAnsi="Arial" w:cs="Arial"/>
                <w:color w:val="000000"/>
                <w:sz w:val="22"/>
                <w:szCs w:val="22"/>
              </w:rPr>
            </w:pPr>
          </w:p>
        </w:tc>
      </w:tr>
      <w:tr w:rsidR="005F21DD" w:rsidRPr="005F21DD" w:rsidTr="005F21DD">
        <w:trPr>
          <w:trHeight w:val="330"/>
        </w:trPr>
        <w:tc>
          <w:tcPr>
            <w:tcW w:w="419"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1217"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2719"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Total AP from Above </w:t>
            </w:r>
          </w:p>
        </w:tc>
        <w:tc>
          <w:tcPr>
            <w:tcW w:w="1657"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rPr>
                <w:color w:val="000000"/>
              </w:rPr>
            </w:pPr>
            <w:r w:rsidRPr="005F21DD">
              <w:rPr>
                <w:color w:val="000000"/>
              </w:rPr>
              <w:t xml:space="preserve"> </w:t>
            </w:r>
            <w:r>
              <w:rPr>
                <w:color w:val="000000"/>
              </w:rPr>
              <w:t xml:space="preserve">        </w:t>
            </w:r>
            <w:r w:rsidRPr="005F21DD">
              <w:rPr>
                <w:color w:val="000000"/>
              </w:rPr>
              <w:t xml:space="preserve">$  22,301 </w:t>
            </w:r>
          </w:p>
        </w:tc>
        <w:tc>
          <w:tcPr>
            <w:tcW w:w="2570" w:type="dxa"/>
            <w:tcBorders>
              <w:top w:val="nil"/>
              <w:left w:val="nil"/>
              <w:bottom w:val="nil"/>
              <w:right w:val="nil"/>
            </w:tcBorders>
            <w:shd w:val="clear" w:color="auto" w:fill="auto"/>
            <w:vAlign w:val="center"/>
            <w:hideMark/>
          </w:tcPr>
          <w:p w:rsidR="005F21DD" w:rsidRPr="005F21DD" w:rsidRDefault="005F21DD" w:rsidP="005F21DD">
            <w:pPr>
              <w:rPr>
                <w:color w:val="000000"/>
              </w:rPr>
            </w:pPr>
          </w:p>
        </w:tc>
        <w:tc>
          <w:tcPr>
            <w:tcW w:w="1402"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c>
          <w:tcPr>
            <w:tcW w:w="816" w:type="dxa"/>
            <w:tcBorders>
              <w:top w:val="nil"/>
              <w:left w:val="nil"/>
              <w:bottom w:val="nil"/>
              <w:right w:val="nil"/>
            </w:tcBorders>
            <w:shd w:val="clear" w:color="auto" w:fill="auto"/>
            <w:vAlign w:val="center"/>
            <w:hideMark/>
          </w:tcPr>
          <w:p w:rsidR="005F21DD" w:rsidRPr="005F21DD" w:rsidRDefault="005F21DD" w:rsidP="005F21DD">
            <w:pPr>
              <w:rPr>
                <w:sz w:val="20"/>
                <w:szCs w:val="20"/>
              </w:rPr>
            </w:pPr>
          </w:p>
        </w:tc>
      </w:tr>
      <w:tr w:rsidR="005F21DD" w:rsidRPr="005F21DD" w:rsidTr="005F21DD">
        <w:trPr>
          <w:trHeight w:val="450"/>
        </w:trPr>
        <w:tc>
          <w:tcPr>
            <w:tcW w:w="10800" w:type="dxa"/>
            <w:gridSpan w:val="8"/>
            <w:tcBorders>
              <w:top w:val="nil"/>
              <w:left w:val="nil"/>
              <w:bottom w:val="nil"/>
              <w:right w:val="nil"/>
            </w:tcBorders>
            <w:shd w:val="clear" w:color="auto" w:fill="auto"/>
            <w:vAlign w:val="bottom"/>
            <w:hideMark/>
          </w:tcPr>
          <w:p w:rsidR="005F21DD" w:rsidRDefault="005F21DD" w:rsidP="005F21DD">
            <w:pPr>
              <w:rPr>
                <w:rFonts w:ascii="Wingdings" w:hAnsi="Wingdings" w:cs="Arial"/>
                <w:color w:val="000000"/>
              </w:rPr>
            </w:pPr>
          </w:p>
          <w:p w:rsidR="005F21DD" w:rsidRDefault="005F21DD" w:rsidP="005F21DD">
            <w:pPr>
              <w:rPr>
                <w:rFonts w:ascii="Wingdings" w:hAnsi="Wingdings" w:cs="Arial"/>
                <w:color w:val="000000"/>
              </w:rPr>
            </w:pPr>
          </w:p>
          <w:p w:rsidR="005F21DD" w:rsidRDefault="005F21DD" w:rsidP="005F21DD">
            <w:pPr>
              <w:rPr>
                <w:rFonts w:ascii="Wingdings" w:hAnsi="Wingdings" w:cs="Arial"/>
                <w:color w:val="000000"/>
              </w:rPr>
            </w:pPr>
          </w:p>
          <w:p w:rsidR="005F21DD" w:rsidRDefault="005F21DD" w:rsidP="005F21DD">
            <w:pPr>
              <w:rPr>
                <w:rFonts w:ascii="Wingdings" w:hAnsi="Wingdings" w:cs="Arial"/>
                <w:color w:val="000000"/>
              </w:rPr>
            </w:pPr>
          </w:p>
          <w:p w:rsidR="005F21DD" w:rsidRDefault="005F21DD" w:rsidP="005F21DD">
            <w:pPr>
              <w:rPr>
                <w:rFonts w:ascii="Wingdings" w:hAnsi="Wingdings" w:cs="Arial"/>
                <w:color w:val="000000"/>
              </w:rPr>
            </w:pPr>
          </w:p>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color w:val="000000"/>
              </w:rPr>
              <w:t xml:space="preserve"> </w:t>
            </w:r>
            <w:r w:rsidRPr="005F21DD">
              <w:rPr>
                <w:rFonts w:ascii="Calibri" w:hAnsi="Calibri" w:cs="Arial"/>
                <w:b/>
                <w:bCs/>
                <w:color w:val="000000"/>
              </w:rPr>
              <w:t>Advance Funding Payable</w:t>
            </w:r>
            <w:r w:rsidRPr="005F21DD">
              <w:rPr>
                <w:rFonts w:ascii="Calibri" w:hAnsi="Calibri" w:cs="Arial"/>
                <w:color w:val="000000"/>
              </w:rPr>
              <w:t xml:space="preserve"> - Activity for the twelve months ending December 31, 2016.</w:t>
            </w:r>
          </w:p>
        </w:tc>
      </w:tr>
      <w:tr w:rsidR="005F21DD" w:rsidRPr="005F21DD" w:rsidTr="005F21DD">
        <w:trPr>
          <w:trHeight w:val="945"/>
        </w:trPr>
        <w:tc>
          <w:tcPr>
            <w:tcW w:w="419" w:type="dxa"/>
            <w:tcBorders>
              <w:top w:val="nil"/>
              <w:left w:val="nil"/>
              <w:bottom w:val="nil"/>
              <w:right w:val="nil"/>
            </w:tcBorders>
            <w:shd w:val="clear" w:color="auto" w:fill="auto"/>
            <w:vAlign w:val="center"/>
            <w:hideMark/>
          </w:tcPr>
          <w:p w:rsidR="005F21DD" w:rsidRPr="005F21DD" w:rsidRDefault="005F21DD" w:rsidP="005F21DD">
            <w:pPr>
              <w:rPr>
                <w:rFonts w:ascii="Wingdings" w:hAnsi="Wingdings" w:cs="Arial"/>
                <w:color w:val="00000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Fund Name</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xml:space="preserve">Beginning Balance at January 1st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Contributions</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&lt;Distributions&gt;</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xml:space="preserve">Ending Balance at December 31, 2016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3936" w:type="dxa"/>
            <w:gridSpan w:val="3"/>
            <w:tcBorders>
              <w:top w:val="nil"/>
              <w:left w:val="nil"/>
              <w:bottom w:val="nil"/>
              <w:right w:val="nil"/>
            </w:tcBorders>
            <w:shd w:val="clear" w:color="auto" w:fill="auto"/>
            <w:vAlign w:val="center"/>
            <w:hideMark/>
          </w:tcPr>
          <w:p w:rsidR="005F21DD" w:rsidRPr="005F21DD" w:rsidRDefault="005F21DD" w:rsidP="005F21DD">
            <w:pPr>
              <w:rPr>
                <w:b/>
                <w:bCs/>
                <w:color w:val="000000"/>
              </w:rPr>
            </w:pPr>
            <w:r w:rsidRPr="005F21DD">
              <w:rPr>
                <w:b/>
                <w:bCs/>
                <w:color w:val="000000"/>
              </w:rPr>
              <w:t>Foundation for Community Health</w:t>
            </w:r>
          </w:p>
        </w:tc>
        <w:tc>
          <w:tcPr>
            <w:tcW w:w="1657" w:type="dxa"/>
            <w:tcBorders>
              <w:top w:val="nil"/>
              <w:left w:val="nil"/>
              <w:bottom w:val="nil"/>
              <w:right w:val="nil"/>
            </w:tcBorders>
            <w:shd w:val="clear" w:color="auto" w:fill="auto"/>
            <w:vAlign w:val="center"/>
            <w:hideMark/>
          </w:tcPr>
          <w:p w:rsidR="005F21DD" w:rsidRPr="005F21DD" w:rsidRDefault="005F21DD" w:rsidP="005F21DD">
            <w:pPr>
              <w:rPr>
                <w:b/>
                <w:bCs/>
                <w:color w:val="00000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Prescription Rx Access</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10,445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7,125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(5,172)</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12,398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Transportation: Acram/Copake</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25,000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(25,000)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Children's Mental Health Project</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20,238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(18,298)</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1,940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b/>
                <w:bCs/>
                <w:color w:val="000000"/>
              </w:rPr>
            </w:pPr>
            <w:r w:rsidRPr="005F21DD">
              <w:rPr>
                <w:b/>
                <w:bCs/>
                <w:color w:val="000000"/>
              </w:rPr>
              <w:t>Dyson Foundation</w:t>
            </w:r>
          </w:p>
        </w:tc>
        <w:tc>
          <w:tcPr>
            <w:tcW w:w="1433" w:type="dxa"/>
            <w:tcBorders>
              <w:top w:val="nil"/>
              <w:left w:val="nil"/>
              <w:bottom w:val="nil"/>
              <w:right w:val="nil"/>
            </w:tcBorders>
            <w:shd w:val="clear" w:color="auto" w:fill="auto"/>
            <w:vAlign w:val="center"/>
            <w:hideMark/>
          </w:tcPr>
          <w:p w:rsidR="005F21DD" w:rsidRPr="005F21DD" w:rsidRDefault="005F21DD" w:rsidP="005F21DD">
            <w:pPr>
              <w:rPr>
                <w:b/>
                <w:bCs/>
                <w:color w:val="000000"/>
              </w:rPr>
            </w:pP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Prescription Rx Access</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25,000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(25,000)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b/>
                <w:bCs/>
                <w:color w:val="000000"/>
              </w:rPr>
            </w:pPr>
            <w:r w:rsidRPr="005F21DD">
              <w:rPr>
                <w:b/>
                <w:bCs/>
                <w:color w:val="000000"/>
              </w:rPr>
              <w:t>NYS Grant Advances</w:t>
            </w:r>
          </w:p>
        </w:tc>
        <w:tc>
          <w:tcPr>
            <w:tcW w:w="1433" w:type="dxa"/>
            <w:tcBorders>
              <w:top w:val="nil"/>
              <w:left w:val="nil"/>
              <w:bottom w:val="nil"/>
              <w:right w:val="nil"/>
            </w:tcBorders>
            <w:shd w:val="clear" w:color="auto" w:fill="auto"/>
            <w:vAlign w:val="center"/>
            <w:hideMark/>
          </w:tcPr>
          <w:p w:rsidR="005F21DD" w:rsidRPr="005F21DD" w:rsidRDefault="005F21DD" w:rsidP="005F21DD">
            <w:pPr>
              <w:rPr>
                <w:b/>
                <w:bCs/>
                <w:color w:val="000000"/>
              </w:rPr>
            </w:pP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Cancer Services Program</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5,060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35,000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(31,949)</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8,111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ind w:firstLineChars="200" w:firstLine="480"/>
              <w:rPr>
                <w:color w:val="000000"/>
              </w:rPr>
            </w:pPr>
            <w:r w:rsidRPr="005F21DD">
              <w:rPr>
                <w:color w:val="000000"/>
              </w:rPr>
              <w:t>Tobacco Free Program</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40,565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79,750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(75,341)</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44,975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Health &amp; Recovery Plan (HCBS - HARP)</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49,850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49,850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jc w:val="right"/>
              <w:rPr>
                <w:b/>
                <w:bCs/>
                <w:color w:val="000000"/>
              </w:rPr>
            </w:pPr>
            <w:r w:rsidRPr="005F21DD">
              <w:rPr>
                <w:b/>
                <w:bCs/>
                <w:color w:val="000000"/>
              </w:rPr>
              <w:t>Total Advance Funding Payable</w:t>
            </w:r>
          </w:p>
        </w:tc>
        <w:tc>
          <w:tcPr>
            <w:tcW w:w="1433"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$76,308 </w:t>
            </w:r>
          </w:p>
        </w:tc>
        <w:tc>
          <w:tcPr>
            <w:tcW w:w="1657"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$221,725 </w:t>
            </w:r>
          </w:p>
        </w:tc>
        <w:tc>
          <w:tcPr>
            <w:tcW w:w="2570"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(180,759)</w:t>
            </w:r>
          </w:p>
        </w:tc>
        <w:tc>
          <w:tcPr>
            <w:tcW w:w="1402"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$117,274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bl>
    <w:p w:rsidR="005F21DD" w:rsidRDefault="005F21DD">
      <w:r>
        <w:br w:type="page"/>
      </w:r>
    </w:p>
    <w:tbl>
      <w:tblPr>
        <w:tblW w:w="10800" w:type="dxa"/>
        <w:tblLook w:val="04A0" w:firstRow="1" w:lastRow="0" w:firstColumn="1" w:lastColumn="0" w:noHBand="0" w:noVBand="1"/>
      </w:tblPr>
      <w:tblGrid>
        <w:gridCol w:w="419"/>
        <w:gridCol w:w="1217"/>
        <w:gridCol w:w="1286"/>
        <w:gridCol w:w="1433"/>
        <w:gridCol w:w="1657"/>
        <w:gridCol w:w="2570"/>
        <w:gridCol w:w="1402"/>
        <w:gridCol w:w="816"/>
      </w:tblGrid>
      <w:tr w:rsidR="005F21DD" w:rsidRPr="005F21DD" w:rsidTr="005F21DD">
        <w:trPr>
          <w:trHeight w:val="22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217"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286" w:type="dxa"/>
            <w:tcBorders>
              <w:top w:val="nil"/>
              <w:left w:val="nil"/>
              <w:bottom w:val="nil"/>
              <w:right w:val="nil"/>
            </w:tcBorders>
            <w:shd w:val="clear" w:color="auto" w:fill="auto"/>
            <w:vAlign w:val="center"/>
            <w:hideMark/>
          </w:tcPr>
          <w:p w:rsidR="005F21DD" w:rsidRPr="005F21DD" w:rsidRDefault="005F21DD" w:rsidP="005F21DD">
            <w:pPr>
              <w:jc w:val="right"/>
              <w:rPr>
                <w:sz w:val="20"/>
                <w:szCs w:val="20"/>
              </w:rPr>
            </w:pPr>
          </w:p>
        </w:tc>
        <w:tc>
          <w:tcPr>
            <w:tcW w:w="1433" w:type="dxa"/>
            <w:tcBorders>
              <w:top w:val="nil"/>
              <w:left w:val="nil"/>
              <w:bottom w:val="nil"/>
              <w:right w:val="nil"/>
            </w:tcBorders>
            <w:shd w:val="clear" w:color="auto" w:fill="auto"/>
            <w:vAlign w:val="center"/>
            <w:hideMark/>
          </w:tcPr>
          <w:p w:rsidR="005F21DD" w:rsidRPr="005F21DD" w:rsidRDefault="005F21DD" w:rsidP="005F21DD">
            <w:pPr>
              <w:jc w:val="right"/>
              <w:rPr>
                <w:sz w:val="20"/>
                <w:szCs w:val="20"/>
              </w:rPr>
            </w:pP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r>
      <w:tr w:rsidR="005F21DD" w:rsidRPr="005F21DD" w:rsidTr="005F21DD">
        <w:trPr>
          <w:trHeight w:val="435"/>
        </w:trPr>
        <w:tc>
          <w:tcPr>
            <w:tcW w:w="10800" w:type="dxa"/>
            <w:gridSpan w:val="8"/>
            <w:tcBorders>
              <w:top w:val="nil"/>
              <w:left w:val="nil"/>
              <w:bottom w:val="nil"/>
              <w:right w:val="nil"/>
            </w:tcBorders>
            <w:shd w:val="clear" w:color="auto" w:fill="auto"/>
            <w:vAlign w:val="bottom"/>
            <w:hideMark/>
          </w:tcPr>
          <w:p w:rsidR="005F21DD" w:rsidRPr="005F21DD" w:rsidRDefault="005F21DD" w:rsidP="005F21DD">
            <w:pPr>
              <w:rPr>
                <w:rFonts w:ascii="Wingdings" w:hAnsi="Wingdings" w:cs="Arial"/>
                <w:color w:val="000000"/>
              </w:rPr>
            </w:pPr>
            <w:r w:rsidRPr="005F21DD">
              <w:rPr>
                <w:rFonts w:ascii="Wingdings" w:hAnsi="Wingdings" w:cs="Arial"/>
                <w:color w:val="000000"/>
              </w:rPr>
              <w:t></w:t>
            </w:r>
            <w:r w:rsidRPr="005F21DD">
              <w:rPr>
                <w:color w:val="000000"/>
              </w:rPr>
              <w:t xml:space="preserve"> </w:t>
            </w:r>
            <w:r w:rsidRPr="005F21DD">
              <w:rPr>
                <w:rFonts w:ascii="Calibri" w:hAnsi="Calibri" w:cs="Arial"/>
                <w:b/>
                <w:bCs/>
                <w:color w:val="000000"/>
              </w:rPr>
              <w:t>Temporary Restricted Funds</w:t>
            </w:r>
            <w:r w:rsidRPr="005F21DD">
              <w:rPr>
                <w:rFonts w:ascii="Calibri" w:hAnsi="Calibri" w:cs="Arial"/>
                <w:color w:val="000000"/>
              </w:rPr>
              <w:t xml:space="preserve"> - Activity for the twelve months ending December 31, 2016,</w:t>
            </w:r>
          </w:p>
        </w:tc>
      </w:tr>
      <w:tr w:rsidR="005F21DD" w:rsidRPr="005F21DD" w:rsidTr="005F21DD">
        <w:trPr>
          <w:trHeight w:val="945"/>
        </w:trPr>
        <w:tc>
          <w:tcPr>
            <w:tcW w:w="419" w:type="dxa"/>
            <w:tcBorders>
              <w:top w:val="nil"/>
              <w:left w:val="nil"/>
              <w:bottom w:val="nil"/>
              <w:right w:val="nil"/>
            </w:tcBorders>
            <w:shd w:val="clear" w:color="auto" w:fill="auto"/>
            <w:vAlign w:val="center"/>
            <w:hideMark/>
          </w:tcPr>
          <w:p w:rsidR="005F21DD" w:rsidRPr="005F21DD" w:rsidRDefault="005F21DD" w:rsidP="005F21DD">
            <w:pPr>
              <w:rPr>
                <w:rFonts w:ascii="Wingdings" w:hAnsi="Wingdings" w:cs="Arial"/>
                <w:color w:val="00000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Fund Name</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xml:space="preserve">Beginning Balance at January 1st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Contributions</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&lt;Distributions&gt;</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r w:rsidRPr="005F21DD">
              <w:rPr>
                <w:b/>
                <w:bCs/>
                <w:color w:val="000000"/>
              </w:rPr>
              <w:t xml:space="preserve">Ending Balance at December 31, 2016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b/>
                <w:bCs/>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Columbia County</w:t>
            </w:r>
            <w:r w:rsidRPr="005F21DD">
              <w:rPr>
                <w:color w:val="000000"/>
                <w:sz w:val="22"/>
                <w:szCs w:val="22"/>
              </w:rPr>
              <w:t xml:space="preserve"> -</w:t>
            </w:r>
            <w:r w:rsidRPr="005F21DD">
              <w:rPr>
                <w:color w:val="000000"/>
                <w:sz w:val="18"/>
                <w:szCs w:val="18"/>
              </w:rPr>
              <w:t>CARTS &amp; Receptionist</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49,000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(49,000)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Columbia County Depts.-CARTS</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19,000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(19,000)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0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Columbia County Cancer Fund</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11,831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16,642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(10,571)</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17,902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Greene County Cancer Fund</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8,690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3,788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(4,217)</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8,261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Complementary Therapies</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6,955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(1,100)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5,855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Jan Koweek Fund</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901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500 </w:t>
            </w: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(300)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1,101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rPr>
                <w:color w:val="000000"/>
              </w:rPr>
            </w:pPr>
            <w:r w:rsidRPr="005F21DD">
              <w:rPr>
                <w:color w:val="000000"/>
              </w:rPr>
              <w:t>Galvan Foundation-Bengali Project</w:t>
            </w:r>
          </w:p>
        </w:tc>
        <w:tc>
          <w:tcPr>
            <w:tcW w:w="1433"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10,470 </w:t>
            </w:r>
          </w:p>
        </w:tc>
        <w:tc>
          <w:tcPr>
            <w:tcW w:w="1657"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c>
          <w:tcPr>
            <w:tcW w:w="2570"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(10,470)</w:t>
            </w:r>
          </w:p>
        </w:tc>
        <w:tc>
          <w:tcPr>
            <w:tcW w:w="1402"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r w:rsidR="005F21DD" w:rsidRPr="005F21DD" w:rsidTr="005F21DD">
        <w:trPr>
          <w:trHeight w:val="315"/>
        </w:trPr>
        <w:tc>
          <w:tcPr>
            <w:tcW w:w="419" w:type="dxa"/>
            <w:tcBorders>
              <w:top w:val="nil"/>
              <w:left w:val="nil"/>
              <w:bottom w:val="nil"/>
              <w:right w:val="nil"/>
            </w:tcBorders>
            <w:shd w:val="clear" w:color="auto" w:fill="auto"/>
            <w:vAlign w:val="center"/>
            <w:hideMark/>
          </w:tcPr>
          <w:p w:rsidR="005F21DD" w:rsidRPr="005F21DD" w:rsidRDefault="005F21DD" w:rsidP="005F21DD">
            <w:pPr>
              <w:jc w:val="center"/>
              <w:rPr>
                <w:sz w:val="20"/>
                <w:szCs w:val="20"/>
              </w:rPr>
            </w:pPr>
          </w:p>
        </w:tc>
        <w:tc>
          <w:tcPr>
            <w:tcW w:w="2503" w:type="dxa"/>
            <w:gridSpan w:val="2"/>
            <w:tcBorders>
              <w:top w:val="nil"/>
              <w:left w:val="nil"/>
              <w:bottom w:val="nil"/>
              <w:right w:val="nil"/>
            </w:tcBorders>
            <w:shd w:val="clear" w:color="auto" w:fill="auto"/>
            <w:vAlign w:val="center"/>
            <w:hideMark/>
          </w:tcPr>
          <w:p w:rsidR="005F21DD" w:rsidRPr="005F21DD" w:rsidRDefault="005F21DD" w:rsidP="005F21DD">
            <w:pPr>
              <w:jc w:val="right"/>
              <w:rPr>
                <w:color w:val="000000"/>
              </w:rPr>
            </w:pPr>
            <w:r w:rsidRPr="005F21DD">
              <w:rPr>
                <w:color w:val="000000"/>
              </w:rPr>
              <w:t>Totals of Temporary Restricted Funds</w:t>
            </w:r>
          </w:p>
        </w:tc>
        <w:tc>
          <w:tcPr>
            <w:tcW w:w="1433"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$38,847 </w:t>
            </w:r>
          </w:p>
        </w:tc>
        <w:tc>
          <w:tcPr>
            <w:tcW w:w="1657"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$88,930 </w:t>
            </w:r>
          </w:p>
        </w:tc>
        <w:tc>
          <w:tcPr>
            <w:tcW w:w="2570"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Pr>
                <w:color w:val="000000"/>
              </w:rPr>
              <w:t xml:space="preserve">             </w:t>
            </w:r>
            <w:r w:rsidRPr="005F21DD">
              <w:rPr>
                <w:color w:val="000000"/>
              </w:rPr>
              <w:t xml:space="preserve"> $(94,659)</w:t>
            </w:r>
          </w:p>
        </w:tc>
        <w:tc>
          <w:tcPr>
            <w:tcW w:w="1402" w:type="dxa"/>
            <w:tcBorders>
              <w:top w:val="single" w:sz="4" w:space="0" w:color="auto"/>
              <w:left w:val="nil"/>
              <w:bottom w:val="double" w:sz="6" w:space="0" w:color="auto"/>
              <w:right w:val="nil"/>
            </w:tcBorders>
            <w:shd w:val="clear" w:color="auto" w:fill="auto"/>
            <w:vAlign w:val="center"/>
            <w:hideMark/>
          </w:tcPr>
          <w:p w:rsidR="005F21DD" w:rsidRPr="005F21DD" w:rsidRDefault="005F21DD" w:rsidP="005F21DD">
            <w:pPr>
              <w:jc w:val="center"/>
              <w:rPr>
                <w:color w:val="000000"/>
              </w:rPr>
            </w:pPr>
            <w:r w:rsidRPr="005F21DD">
              <w:rPr>
                <w:color w:val="000000"/>
              </w:rPr>
              <w:t xml:space="preserve"> $33,118 </w:t>
            </w:r>
          </w:p>
        </w:tc>
        <w:tc>
          <w:tcPr>
            <w:tcW w:w="816" w:type="dxa"/>
            <w:tcBorders>
              <w:top w:val="nil"/>
              <w:left w:val="nil"/>
              <w:bottom w:val="nil"/>
              <w:right w:val="nil"/>
            </w:tcBorders>
            <w:shd w:val="clear" w:color="auto" w:fill="auto"/>
            <w:vAlign w:val="center"/>
            <w:hideMark/>
          </w:tcPr>
          <w:p w:rsidR="005F21DD" w:rsidRPr="005F21DD" w:rsidRDefault="005F21DD" w:rsidP="005F21DD">
            <w:pPr>
              <w:jc w:val="center"/>
              <w:rPr>
                <w:color w:val="000000"/>
              </w:rPr>
            </w:pPr>
          </w:p>
        </w:tc>
      </w:tr>
    </w:tbl>
    <w:p w:rsidR="00385B16" w:rsidRPr="00990131" w:rsidRDefault="00385B16" w:rsidP="00990131"/>
    <w:sectPr w:rsidR="00385B16" w:rsidRPr="00990131" w:rsidSect="00990131">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E81" w:rsidRDefault="00F10E81" w:rsidP="00A96EC7">
      <w:r>
        <w:separator/>
      </w:r>
    </w:p>
  </w:endnote>
  <w:endnote w:type="continuationSeparator" w:id="0">
    <w:p w:rsidR="00F10E81" w:rsidRDefault="00F10E81" w:rsidP="00A9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E81" w:rsidRDefault="00F10E81" w:rsidP="00A96EC7">
      <w:r>
        <w:separator/>
      </w:r>
    </w:p>
  </w:footnote>
  <w:footnote w:type="continuationSeparator" w:id="0">
    <w:p w:rsidR="00F10E81" w:rsidRDefault="00F10E81" w:rsidP="00A9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E364E"/>
    <w:multiLevelType w:val="hybridMultilevel"/>
    <w:tmpl w:val="00E6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E44FA6"/>
    <w:multiLevelType w:val="hybridMultilevel"/>
    <w:tmpl w:val="A3187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10346B"/>
    <w:multiLevelType w:val="hybridMultilevel"/>
    <w:tmpl w:val="4386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FE0156"/>
    <w:multiLevelType w:val="hybridMultilevel"/>
    <w:tmpl w:val="D504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57F67"/>
    <w:multiLevelType w:val="hybridMultilevel"/>
    <w:tmpl w:val="F1B8C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E4C3BCD"/>
    <w:multiLevelType w:val="hybridMultilevel"/>
    <w:tmpl w:val="CCB86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10"/>
  </w:num>
  <w:num w:numId="7">
    <w:abstractNumId w:val="7"/>
  </w:num>
  <w:num w:numId="8">
    <w:abstractNumId w:val="6"/>
  </w:num>
  <w:num w:numId="9">
    <w:abstractNumId w:val="16"/>
  </w:num>
  <w:num w:numId="10">
    <w:abstractNumId w:val="12"/>
  </w:num>
  <w:num w:numId="11">
    <w:abstractNumId w:val="11"/>
  </w:num>
  <w:num w:numId="12">
    <w:abstractNumId w:val="15"/>
  </w:num>
  <w:num w:numId="13">
    <w:abstractNumId w:val="14"/>
  </w:num>
  <w:num w:numId="14">
    <w:abstractNumId w:val="13"/>
  </w:num>
  <w:num w:numId="15">
    <w:abstractNumId w:val="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06A76"/>
    <w:rsid w:val="00023E7B"/>
    <w:rsid w:val="00026EB6"/>
    <w:rsid w:val="00037A04"/>
    <w:rsid w:val="00062538"/>
    <w:rsid w:val="00064B5F"/>
    <w:rsid w:val="00071F28"/>
    <w:rsid w:val="0009460C"/>
    <w:rsid w:val="00097F59"/>
    <w:rsid w:val="000A2D35"/>
    <w:rsid w:val="000B6DD7"/>
    <w:rsid w:val="000F0E3D"/>
    <w:rsid w:val="001274CB"/>
    <w:rsid w:val="00132B0A"/>
    <w:rsid w:val="001369A6"/>
    <w:rsid w:val="001515B8"/>
    <w:rsid w:val="001911CB"/>
    <w:rsid w:val="001E0050"/>
    <w:rsid w:val="001F64E2"/>
    <w:rsid w:val="00207444"/>
    <w:rsid w:val="00212943"/>
    <w:rsid w:val="002413F8"/>
    <w:rsid w:val="00247C27"/>
    <w:rsid w:val="00252DCF"/>
    <w:rsid w:val="002901B2"/>
    <w:rsid w:val="002A5029"/>
    <w:rsid w:val="002A5131"/>
    <w:rsid w:val="002B263C"/>
    <w:rsid w:val="002B6DEC"/>
    <w:rsid w:val="002C083B"/>
    <w:rsid w:val="002C0B80"/>
    <w:rsid w:val="002C4573"/>
    <w:rsid w:val="002E2F64"/>
    <w:rsid w:val="0030688B"/>
    <w:rsid w:val="00342789"/>
    <w:rsid w:val="00352709"/>
    <w:rsid w:val="003624D1"/>
    <w:rsid w:val="00385B16"/>
    <w:rsid w:val="003918B4"/>
    <w:rsid w:val="003F79C4"/>
    <w:rsid w:val="00412DDD"/>
    <w:rsid w:val="00421F8B"/>
    <w:rsid w:val="00475C88"/>
    <w:rsid w:val="004760AF"/>
    <w:rsid w:val="004A10B9"/>
    <w:rsid w:val="004C488F"/>
    <w:rsid w:val="004E0E27"/>
    <w:rsid w:val="004E41EF"/>
    <w:rsid w:val="004F7032"/>
    <w:rsid w:val="0050320B"/>
    <w:rsid w:val="00515E81"/>
    <w:rsid w:val="0055133D"/>
    <w:rsid w:val="00564F43"/>
    <w:rsid w:val="00575593"/>
    <w:rsid w:val="005A25ED"/>
    <w:rsid w:val="005B073F"/>
    <w:rsid w:val="005B4AC3"/>
    <w:rsid w:val="005C3C63"/>
    <w:rsid w:val="005C6D89"/>
    <w:rsid w:val="005D783D"/>
    <w:rsid w:val="005E7D1E"/>
    <w:rsid w:val="005F21DD"/>
    <w:rsid w:val="00601B1D"/>
    <w:rsid w:val="0061327C"/>
    <w:rsid w:val="0062335B"/>
    <w:rsid w:val="006472C0"/>
    <w:rsid w:val="00690525"/>
    <w:rsid w:val="006C7D2A"/>
    <w:rsid w:val="006D2900"/>
    <w:rsid w:val="006D2E29"/>
    <w:rsid w:val="006D5967"/>
    <w:rsid w:val="0070203E"/>
    <w:rsid w:val="00742E9B"/>
    <w:rsid w:val="00746F3D"/>
    <w:rsid w:val="00752B9A"/>
    <w:rsid w:val="00796B31"/>
    <w:rsid w:val="007D77E8"/>
    <w:rsid w:val="007E15C2"/>
    <w:rsid w:val="007E43C8"/>
    <w:rsid w:val="00810247"/>
    <w:rsid w:val="00843353"/>
    <w:rsid w:val="00855300"/>
    <w:rsid w:val="008630E4"/>
    <w:rsid w:val="0088470F"/>
    <w:rsid w:val="008A2296"/>
    <w:rsid w:val="008F4187"/>
    <w:rsid w:val="009115A7"/>
    <w:rsid w:val="0091350F"/>
    <w:rsid w:val="0091567E"/>
    <w:rsid w:val="00921C0E"/>
    <w:rsid w:val="00941F5A"/>
    <w:rsid w:val="00943D31"/>
    <w:rsid w:val="00971B37"/>
    <w:rsid w:val="00990131"/>
    <w:rsid w:val="00990FBF"/>
    <w:rsid w:val="009C541E"/>
    <w:rsid w:val="009D18D2"/>
    <w:rsid w:val="00A02AD5"/>
    <w:rsid w:val="00A03133"/>
    <w:rsid w:val="00A176E2"/>
    <w:rsid w:val="00A17DE4"/>
    <w:rsid w:val="00A42B94"/>
    <w:rsid w:val="00A7348F"/>
    <w:rsid w:val="00A806B4"/>
    <w:rsid w:val="00A82A4A"/>
    <w:rsid w:val="00A96EC7"/>
    <w:rsid w:val="00AA4696"/>
    <w:rsid w:val="00AF0735"/>
    <w:rsid w:val="00B241BE"/>
    <w:rsid w:val="00B44232"/>
    <w:rsid w:val="00B50F4B"/>
    <w:rsid w:val="00B568C6"/>
    <w:rsid w:val="00B57C39"/>
    <w:rsid w:val="00B60BAB"/>
    <w:rsid w:val="00BE2FC7"/>
    <w:rsid w:val="00BE50D6"/>
    <w:rsid w:val="00BE76E2"/>
    <w:rsid w:val="00C14518"/>
    <w:rsid w:val="00C27C64"/>
    <w:rsid w:val="00C31650"/>
    <w:rsid w:val="00C50DA8"/>
    <w:rsid w:val="00C827EF"/>
    <w:rsid w:val="00C95C54"/>
    <w:rsid w:val="00CA7BEE"/>
    <w:rsid w:val="00CC293F"/>
    <w:rsid w:val="00CE1DBC"/>
    <w:rsid w:val="00CE644A"/>
    <w:rsid w:val="00D12FA2"/>
    <w:rsid w:val="00D14318"/>
    <w:rsid w:val="00D2044F"/>
    <w:rsid w:val="00D46062"/>
    <w:rsid w:val="00D70608"/>
    <w:rsid w:val="00D81AA6"/>
    <w:rsid w:val="00D94F56"/>
    <w:rsid w:val="00DA2F4A"/>
    <w:rsid w:val="00DA6950"/>
    <w:rsid w:val="00DB62FF"/>
    <w:rsid w:val="00E81E94"/>
    <w:rsid w:val="00E91034"/>
    <w:rsid w:val="00EB0D94"/>
    <w:rsid w:val="00EB6FD4"/>
    <w:rsid w:val="00EC3403"/>
    <w:rsid w:val="00EC75A2"/>
    <w:rsid w:val="00ED4A58"/>
    <w:rsid w:val="00F007AD"/>
    <w:rsid w:val="00F01099"/>
    <w:rsid w:val="00F10E81"/>
    <w:rsid w:val="00F20BC1"/>
    <w:rsid w:val="00F21962"/>
    <w:rsid w:val="00F43C7F"/>
    <w:rsid w:val="00F63E94"/>
    <w:rsid w:val="00F64AE7"/>
    <w:rsid w:val="00F8148F"/>
    <w:rsid w:val="00FA118E"/>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79868-82FD-4379-87DF-58F1F9A7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 w:type="character" w:styleId="CommentReference">
    <w:name w:val="annotation reference"/>
    <w:basedOn w:val="DefaultParagraphFont"/>
    <w:uiPriority w:val="99"/>
    <w:semiHidden/>
    <w:unhideWhenUsed/>
    <w:rsid w:val="00DA2F4A"/>
    <w:rPr>
      <w:sz w:val="16"/>
      <w:szCs w:val="16"/>
    </w:rPr>
  </w:style>
  <w:style w:type="paragraph" w:styleId="CommentText">
    <w:name w:val="annotation text"/>
    <w:basedOn w:val="Normal"/>
    <w:link w:val="CommentTextChar"/>
    <w:uiPriority w:val="99"/>
    <w:semiHidden/>
    <w:unhideWhenUsed/>
    <w:rsid w:val="00DA2F4A"/>
    <w:rPr>
      <w:sz w:val="20"/>
      <w:szCs w:val="20"/>
    </w:rPr>
  </w:style>
  <w:style w:type="character" w:customStyle="1" w:styleId="CommentTextChar">
    <w:name w:val="Comment Text Char"/>
    <w:basedOn w:val="DefaultParagraphFont"/>
    <w:link w:val="CommentText"/>
    <w:uiPriority w:val="99"/>
    <w:semiHidden/>
    <w:rsid w:val="00DA2F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2F4A"/>
    <w:rPr>
      <w:b/>
      <w:bCs/>
    </w:rPr>
  </w:style>
  <w:style w:type="character" w:customStyle="1" w:styleId="CommentSubjectChar">
    <w:name w:val="Comment Subject Char"/>
    <w:basedOn w:val="CommentTextChar"/>
    <w:link w:val="CommentSubject"/>
    <w:uiPriority w:val="99"/>
    <w:semiHidden/>
    <w:rsid w:val="00DA2F4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2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4A"/>
    <w:rPr>
      <w:rFonts w:ascii="Segoe UI" w:eastAsia="Times New Roman" w:hAnsi="Segoe UI" w:cs="Segoe UI"/>
      <w:sz w:val="18"/>
      <w:szCs w:val="18"/>
    </w:rPr>
  </w:style>
  <w:style w:type="paragraph" w:styleId="Header">
    <w:name w:val="header"/>
    <w:basedOn w:val="Normal"/>
    <w:link w:val="HeaderChar"/>
    <w:uiPriority w:val="99"/>
    <w:unhideWhenUsed/>
    <w:rsid w:val="00A96EC7"/>
    <w:pPr>
      <w:tabs>
        <w:tab w:val="center" w:pos="4680"/>
        <w:tab w:val="right" w:pos="9360"/>
      </w:tabs>
    </w:pPr>
  </w:style>
  <w:style w:type="character" w:customStyle="1" w:styleId="HeaderChar">
    <w:name w:val="Header Char"/>
    <w:basedOn w:val="DefaultParagraphFont"/>
    <w:link w:val="Header"/>
    <w:uiPriority w:val="99"/>
    <w:rsid w:val="00A96E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6EC7"/>
    <w:pPr>
      <w:tabs>
        <w:tab w:val="center" w:pos="4680"/>
        <w:tab w:val="right" w:pos="9360"/>
      </w:tabs>
    </w:pPr>
  </w:style>
  <w:style w:type="character" w:customStyle="1" w:styleId="FooterChar">
    <w:name w:val="Footer Char"/>
    <w:basedOn w:val="DefaultParagraphFont"/>
    <w:link w:val="Footer"/>
    <w:uiPriority w:val="99"/>
    <w:rsid w:val="00A96E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83277">
      <w:bodyDiv w:val="1"/>
      <w:marLeft w:val="0"/>
      <w:marRight w:val="0"/>
      <w:marTop w:val="0"/>
      <w:marBottom w:val="0"/>
      <w:divBdr>
        <w:top w:val="none" w:sz="0" w:space="0" w:color="auto"/>
        <w:left w:val="none" w:sz="0" w:space="0" w:color="auto"/>
        <w:bottom w:val="none" w:sz="0" w:space="0" w:color="auto"/>
        <w:right w:val="none" w:sz="0" w:space="0" w:color="auto"/>
      </w:divBdr>
    </w:div>
    <w:div w:id="314724503">
      <w:bodyDiv w:val="1"/>
      <w:marLeft w:val="0"/>
      <w:marRight w:val="0"/>
      <w:marTop w:val="0"/>
      <w:marBottom w:val="0"/>
      <w:divBdr>
        <w:top w:val="none" w:sz="0" w:space="0" w:color="auto"/>
        <w:left w:val="none" w:sz="0" w:space="0" w:color="auto"/>
        <w:bottom w:val="none" w:sz="0" w:space="0" w:color="auto"/>
        <w:right w:val="none" w:sz="0" w:space="0" w:color="auto"/>
      </w:divBdr>
    </w:div>
    <w:div w:id="336735716">
      <w:bodyDiv w:val="1"/>
      <w:marLeft w:val="0"/>
      <w:marRight w:val="0"/>
      <w:marTop w:val="0"/>
      <w:marBottom w:val="0"/>
      <w:divBdr>
        <w:top w:val="none" w:sz="0" w:space="0" w:color="auto"/>
        <w:left w:val="none" w:sz="0" w:space="0" w:color="auto"/>
        <w:bottom w:val="none" w:sz="0" w:space="0" w:color="auto"/>
        <w:right w:val="none" w:sz="0" w:space="0" w:color="auto"/>
      </w:divBdr>
    </w:div>
    <w:div w:id="372074938">
      <w:bodyDiv w:val="1"/>
      <w:marLeft w:val="0"/>
      <w:marRight w:val="0"/>
      <w:marTop w:val="0"/>
      <w:marBottom w:val="0"/>
      <w:divBdr>
        <w:top w:val="none" w:sz="0" w:space="0" w:color="auto"/>
        <w:left w:val="none" w:sz="0" w:space="0" w:color="auto"/>
        <w:bottom w:val="none" w:sz="0" w:space="0" w:color="auto"/>
        <w:right w:val="none" w:sz="0" w:space="0" w:color="auto"/>
      </w:divBdr>
    </w:div>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631206170">
      <w:bodyDiv w:val="1"/>
      <w:marLeft w:val="0"/>
      <w:marRight w:val="0"/>
      <w:marTop w:val="0"/>
      <w:marBottom w:val="0"/>
      <w:divBdr>
        <w:top w:val="none" w:sz="0" w:space="0" w:color="auto"/>
        <w:left w:val="none" w:sz="0" w:space="0" w:color="auto"/>
        <w:bottom w:val="none" w:sz="0" w:space="0" w:color="auto"/>
        <w:right w:val="none" w:sz="0" w:space="0" w:color="auto"/>
      </w:divBdr>
    </w:div>
    <w:div w:id="780027511">
      <w:bodyDiv w:val="1"/>
      <w:marLeft w:val="0"/>
      <w:marRight w:val="0"/>
      <w:marTop w:val="0"/>
      <w:marBottom w:val="0"/>
      <w:divBdr>
        <w:top w:val="none" w:sz="0" w:space="0" w:color="auto"/>
        <w:left w:val="none" w:sz="0" w:space="0" w:color="auto"/>
        <w:bottom w:val="none" w:sz="0" w:space="0" w:color="auto"/>
        <w:right w:val="none" w:sz="0" w:space="0" w:color="auto"/>
      </w:divBdr>
    </w:div>
    <w:div w:id="838346289">
      <w:bodyDiv w:val="1"/>
      <w:marLeft w:val="0"/>
      <w:marRight w:val="0"/>
      <w:marTop w:val="0"/>
      <w:marBottom w:val="0"/>
      <w:divBdr>
        <w:top w:val="none" w:sz="0" w:space="0" w:color="auto"/>
        <w:left w:val="none" w:sz="0" w:space="0" w:color="auto"/>
        <w:bottom w:val="none" w:sz="0" w:space="0" w:color="auto"/>
        <w:right w:val="none" w:sz="0" w:space="0" w:color="auto"/>
      </w:divBdr>
    </w:div>
    <w:div w:id="850222941">
      <w:bodyDiv w:val="1"/>
      <w:marLeft w:val="0"/>
      <w:marRight w:val="0"/>
      <w:marTop w:val="0"/>
      <w:marBottom w:val="0"/>
      <w:divBdr>
        <w:top w:val="none" w:sz="0" w:space="0" w:color="auto"/>
        <w:left w:val="none" w:sz="0" w:space="0" w:color="auto"/>
        <w:bottom w:val="none" w:sz="0" w:space="0" w:color="auto"/>
        <w:right w:val="none" w:sz="0" w:space="0" w:color="auto"/>
      </w:divBdr>
    </w:div>
    <w:div w:id="1128233980">
      <w:bodyDiv w:val="1"/>
      <w:marLeft w:val="0"/>
      <w:marRight w:val="0"/>
      <w:marTop w:val="0"/>
      <w:marBottom w:val="0"/>
      <w:divBdr>
        <w:top w:val="none" w:sz="0" w:space="0" w:color="auto"/>
        <w:left w:val="none" w:sz="0" w:space="0" w:color="auto"/>
        <w:bottom w:val="none" w:sz="0" w:space="0" w:color="auto"/>
        <w:right w:val="none" w:sz="0" w:space="0" w:color="auto"/>
      </w:divBdr>
    </w:div>
    <w:div w:id="1137651390">
      <w:bodyDiv w:val="1"/>
      <w:marLeft w:val="0"/>
      <w:marRight w:val="0"/>
      <w:marTop w:val="0"/>
      <w:marBottom w:val="0"/>
      <w:divBdr>
        <w:top w:val="none" w:sz="0" w:space="0" w:color="auto"/>
        <w:left w:val="none" w:sz="0" w:space="0" w:color="auto"/>
        <w:bottom w:val="none" w:sz="0" w:space="0" w:color="auto"/>
        <w:right w:val="none" w:sz="0" w:space="0" w:color="auto"/>
      </w:divBdr>
    </w:div>
    <w:div w:id="1165900269">
      <w:bodyDiv w:val="1"/>
      <w:marLeft w:val="0"/>
      <w:marRight w:val="0"/>
      <w:marTop w:val="0"/>
      <w:marBottom w:val="0"/>
      <w:divBdr>
        <w:top w:val="none" w:sz="0" w:space="0" w:color="auto"/>
        <w:left w:val="none" w:sz="0" w:space="0" w:color="auto"/>
        <w:bottom w:val="none" w:sz="0" w:space="0" w:color="auto"/>
        <w:right w:val="none" w:sz="0" w:space="0" w:color="auto"/>
      </w:divBdr>
    </w:div>
    <w:div w:id="1187787364">
      <w:bodyDiv w:val="1"/>
      <w:marLeft w:val="0"/>
      <w:marRight w:val="0"/>
      <w:marTop w:val="0"/>
      <w:marBottom w:val="0"/>
      <w:divBdr>
        <w:top w:val="none" w:sz="0" w:space="0" w:color="auto"/>
        <w:left w:val="none" w:sz="0" w:space="0" w:color="auto"/>
        <w:bottom w:val="none" w:sz="0" w:space="0" w:color="auto"/>
        <w:right w:val="none" w:sz="0" w:space="0" w:color="auto"/>
      </w:divBdr>
    </w:div>
    <w:div w:id="1196313711">
      <w:bodyDiv w:val="1"/>
      <w:marLeft w:val="0"/>
      <w:marRight w:val="0"/>
      <w:marTop w:val="0"/>
      <w:marBottom w:val="0"/>
      <w:divBdr>
        <w:top w:val="none" w:sz="0" w:space="0" w:color="auto"/>
        <w:left w:val="none" w:sz="0" w:space="0" w:color="auto"/>
        <w:bottom w:val="none" w:sz="0" w:space="0" w:color="auto"/>
        <w:right w:val="none" w:sz="0" w:space="0" w:color="auto"/>
      </w:divBdr>
    </w:div>
    <w:div w:id="1199929044">
      <w:bodyDiv w:val="1"/>
      <w:marLeft w:val="0"/>
      <w:marRight w:val="0"/>
      <w:marTop w:val="0"/>
      <w:marBottom w:val="0"/>
      <w:divBdr>
        <w:top w:val="none" w:sz="0" w:space="0" w:color="auto"/>
        <w:left w:val="none" w:sz="0" w:space="0" w:color="auto"/>
        <w:bottom w:val="none" w:sz="0" w:space="0" w:color="auto"/>
        <w:right w:val="none" w:sz="0" w:space="0" w:color="auto"/>
      </w:divBdr>
    </w:div>
    <w:div w:id="1258708210">
      <w:bodyDiv w:val="1"/>
      <w:marLeft w:val="0"/>
      <w:marRight w:val="0"/>
      <w:marTop w:val="0"/>
      <w:marBottom w:val="0"/>
      <w:divBdr>
        <w:top w:val="none" w:sz="0" w:space="0" w:color="auto"/>
        <w:left w:val="none" w:sz="0" w:space="0" w:color="auto"/>
        <w:bottom w:val="none" w:sz="0" w:space="0" w:color="auto"/>
        <w:right w:val="none" w:sz="0" w:space="0" w:color="auto"/>
      </w:divBdr>
    </w:div>
    <w:div w:id="1269771683">
      <w:bodyDiv w:val="1"/>
      <w:marLeft w:val="0"/>
      <w:marRight w:val="0"/>
      <w:marTop w:val="0"/>
      <w:marBottom w:val="0"/>
      <w:divBdr>
        <w:top w:val="none" w:sz="0" w:space="0" w:color="auto"/>
        <w:left w:val="none" w:sz="0" w:space="0" w:color="auto"/>
        <w:bottom w:val="none" w:sz="0" w:space="0" w:color="auto"/>
        <w:right w:val="none" w:sz="0" w:space="0" w:color="auto"/>
      </w:divBdr>
    </w:div>
    <w:div w:id="1388649736">
      <w:bodyDiv w:val="1"/>
      <w:marLeft w:val="0"/>
      <w:marRight w:val="0"/>
      <w:marTop w:val="0"/>
      <w:marBottom w:val="0"/>
      <w:divBdr>
        <w:top w:val="none" w:sz="0" w:space="0" w:color="auto"/>
        <w:left w:val="none" w:sz="0" w:space="0" w:color="auto"/>
        <w:bottom w:val="none" w:sz="0" w:space="0" w:color="auto"/>
        <w:right w:val="none" w:sz="0" w:space="0" w:color="auto"/>
      </w:divBdr>
    </w:div>
    <w:div w:id="1469274206">
      <w:bodyDiv w:val="1"/>
      <w:marLeft w:val="0"/>
      <w:marRight w:val="0"/>
      <w:marTop w:val="0"/>
      <w:marBottom w:val="0"/>
      <w:divBdr>
        <w:top w:val="none" w:sz="0" w:space="0" w:color="auto"/>
        <w:left w:val="none" w:sz="0" w:space="0" w:color="auto"/>
        <w:bottom w:val="none" w:sz="0" w:space="0" w:color="auto"/>
        <w:right w:val="none" w:sz="0" w:space="0" w:color="auto"/>
      </w:divBdr>
    </w:div>
    <w:div w:id="1632441667">
      <w:bodyDiv w:val="1"/>
      <w:marLeft w:val="0"/>
      <w:marRight w:val="0"/>
      <w:marTop w:val="0"/>
      <w:marBottom w:val="0"/>
      <w:divBdr>
        <w:top w:val="none" w:sz="0" w:space="0" w:color="auto"/>
        <w:left w:val="none" w:sz="0" w:space="0" w:color="auto"/>
        <w:bottom w:val="none" w:sz="0" w:space="0" w:color="auto"/>
        <w:right w:val="none" w:sz="0" w:space="0" w:color="auto"/>
      </w:divBdr>
    </w:div>
    <w:div w:id="1788112081">
      <w:bodyDiv w:val="1"/>
      <w:marLeft w:val="0"/>
      <w:marRight w:val="0"/>
      <w:marTop w:val="0"/>
      <w:marBottom w:val="0"/>
      <w:divBdr>
        <w:top w:val="none" w:sz="0" w:space="0" w:color="auto"/>
        <w:left w:val="none" w:sz="0" w:space="0" w:color="auto"/>
        <w:bottom w:val="none" w:sz="0" w:space="0" w:color="auto"/>
        <w:right w:val="none" w:sz="0" w:space="0" w:color="auto"/>
      </w:divBdr>
    </w:div>
    <w:div w:id="1797865336">
      <w:bodyDiv w:val="1"/>
      <w:marLeft w:val="0"/>
      <w:marRight w:val="0"/>
      <w:marTop w:val="0"/>
      <w:marBottom w:val="0"/>
      <w:divBdr>
        <w:top w:val="none" w:sz="0" w:space="0" w:color="auto"/>
        <w:left w:val="none" w:sz="0" w:space="0" w:color="auto"/>
        <w:bottom w:val="none" w:sz="0" w:space="0" w:color="auto"/>
        <w:right w:val="none" w:sz="0" w:space="0" w:color="auto"/>
      </w:divBdr>
    </w:div>
    <w:div w:id="1808665100">
      <w:bodyDiv w:val="1"/>
      <w:marLeft w:val="0"/>
      <w:marRight w:val="0"/>
      <w:marTop w:val="0"/>
      <w:marBottom w:val="0"/>
      <w:divBdr>
        <w:top w:val="none" w:sz="0" w:space="0" w:color="auto"/>
        <w:left w:val="none" w:sz="0" w:space="0" w:color="auto"/>
        <w:bottom w:val="none" w:sz="0" w:space="0" w:color="auto"/>
        <w:right w:val="none" w:sz="0" w:space="0" w:color="auto"/>
      </w:divBdr>
    </w:div>
    <w:div w:id="1849635212">
      <w:bodyDiv w:val="1"/>
      <w:marLeft w:val="0"/>
      <w:marRight w:val="0"/>
      <w:marTop w:val="0"/>
      <w:marBottom w:val="0"/>
      <w:divBdr>
        <w:top w:val="none" w:sz="0" w:space="0" w:color="auto"/>
        <w:left w:val="none" w:sz="0" w:space="0" w:color="auto"/>
        <w:bottom w:val="none" w:sz="0" w:space="0" w:color="auto"/>
        <w:right w:val="none" w:sz="0" w:space="0" w:color="auto"/>
      </w:divBdr>
    </w:div>
    <w:div w:id="1904289133">
      <w:bodyDiv w:val="1"/>
      <w:marLeft w:val="0"/>
      <w:marRight w:val="0"/>
      <w:marTop w:val="0"/>
      <w:marBottom w:val="0"/>
      <w:divBdr>
        <w:top w:val="none" w:sz="0" w:space="0" w:color="auto"/>
        <w:left w:val="none" w:sz="0" w:space="0" w:color="auto"/>
        <w:bottom w:val="none" w:sz="0" w:space="0" w:color="auto"/>
        <w:right w:val="none" w:sz="0" w:space="0" w:color="auto"/>
      </w:divBdr>
    </w:div>
    <w:div w:id="2038382158">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5201602">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 w:id="2130052361">
      <w:bodyDiv w:val="1"/>
      <w:marLeft w:val="0"/>
      <w:marRight w:val="0"/>
      <w:marTop w:val="0"/>
      <w:marBottom w:val="0"/>
      <w:divBdr>
        <w:top w:val="none" w:sz="0" w:space="0" w:color="auto"/>
        <w:left w:val="none" w:sz="0" w:space="0" w:color="auto"/>
        <w:bottom w:val="none" w:sz="0" w:space="0" w:color="auto"/>
        <w:right w:val="none" w:sz="0" w:space="0" w:color="auto"/>
      </w:divBdr>
    </w:div>
    <w:div w:id="21316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7\CCCHC%20Financial%20Report%2012%2031%202016%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cchcdc01\general\Board%20of%20Directors\Committees%20of%20the%20Board\Budget%20and%20Finance%20Committee\meeting%20minutes%202017\CCCHC%20Financial%20Report%2012%2031%202016%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Grant Receivable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78365824961535"/>
          <c:y val="0.18097222222222226"/>
          <c:w val="0.82764107611548554"/>
          <c:h val="0.64426837270341208"/>
        </c:manualLayout>
      </c:layout>
      <c:barChart>
        <c:barDir val="col"/>
        <c:grouping val="clustered"/>
        <c:varyColors val="0"/>
        <c:ser>
          <c:idx val="0"/>
          <c:order val="0"/>
          <c:spPr>
            <a:solidFill>
              <a:schemeClr val="accent1"/>
            </a:solidFill>
            <a:ln>
              <a:noFill/>
            </a:ln>
            <a:effectLst/>
          </c:spPr>
          <c:invertIfNegative val="0"/>
          <c:cat>
            <c:numRef>
              <c:f>Data!$D$184:$D$197</c:f>
              <c:numCache>
                <c:formatCode>mmm\-yy</c:formatCode>
                <c:ptCount val="14"/>
                <c:pt idx="0">
                  <c:v>42309</c:v>
                </c:pt>
                <c:pt idx="1">
                  <c:v>42339</c:v>
                </c:pt>
                <c:pt idx="2">
                  <c:v>42370</c:v>
                </c:pt>
                <c:pt idx="3">
                  <c:v>42401</c:v>
                </c:pt>
                <c:pt idx="4">
                  <c:v>42430</c:v>
                </c:pt>
                <c:pt idx="5">
                  <c:v>42461</c:v>
                </c:pt>
                <c:pt idx="6">
                  <c:v>42491</c:v>
                </c:pt>
                <c:pt idx="7">
                  <c:v>42522</c:v>
                </c:pt>
                <c:pt idx="8">
                  <c:v>42552</c:v>
                </c:pt>
                <c:pt idx="9">
                  <c:v>42583</c:v>
                </c:pt>
                <c:pt idx="10">
                  <c:v>42614</c:v>
                </c:pt>
                <c:pt idx="11">
                  <c:v>42644</c:v>
                </c:pt>
                <c:pt idx="12">
                  <c:v>42675</c:v>
                </c:pt>
                <c:pt idx="13">
                  <c:v>42705</c:v>
                </c:pt>
              </c:numCache>
            </c:numRef>
          </c:cat>
          <c:val>
            <c:numRef>
              <c:f>Data!$E$184:$E$197</c:f>
              <c:numCache>
                <c:formatCode>"$"#,##0_);[Red]\("$"#,##0\)</c:formatCode>
                <c:ptCount val="14"/>
                <c:pt idx="0">
                  <c:v>212998.66</c:v>
                </c:pt>
                <c:pt idx="1">
                  <c:v>256955.64</c:v>
                </c:pt>
                <c:pt idx="2">
                  <c:v>369484.08</c:v>
                </c:pt>
                <c:pt idx="3">
                  <c:v>295295.56</c:v>
                </c:pt>
                <c:pt idx="4">
                  <c:v>255667.1</c:v>
                </c:pt>
                <c:pt idx="5">
                  <c:v>293900.99</c:v>
                </c:pt>
                <c:pt idx="6">
                  <c:v>333724.05</c:v>
                </c:pt>
                <c:pt idx="7">
                  <c:v>383807.83</c:v>
                </c:pt>
                <c:pt idx="8">
                  <c:v>291806.19</c:v>
                </c:pt>
                <c:pt idx="9">
                  <c:v>182364.32</c:v>
                </c:pt>
                <c:pt idx="10">
                  <c:v>242244.9</c:v>
                </c:pt>
                <c:pt idx="11">
                  <c:v>246906.4</c:v>
                </c:pt>
                <c:pt idx="12">
                  <c:v>246233.36</c:v>
                </c:pt>
                <c:pt idx="13">
                  <c:v>232150.24</c:v>
                </c:pt>
              </c:numCache>
            </c:numRef>
          </c:val>
        </c:ser>
        <c:dLbls>
          <c:showLegendKey val="0"/>
          <c:showVal val="0"/>
          <c:showCatName val="0"/>
          <c:showSerName val="0"/>
          <c:showPercent val="0"/>
          <c:showBubbleSize val="0"/>
        </c:dLbls>
        <c:gapWidth val="243"/>
        <c:overlap val="-83"/>
        <c:axId val="5395944"/>
        <c:axId val="5398376"/>
      </c:barChart>
      <c:dateAx>
        <c:axId val="5395944"/>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8376"/>
        <c:crosses val="autoZero"/>
        <c:auto val="1"/>
        <c:lblOffset val="100"/>
        <c:baseTimeUnit val="months"/>
      </c:dateAx>
      <c:valAx>
        <c:axId val="5398376"/>
        <c:scaling>
          <c:orientation val="minMax"/>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5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Checking</a:t>
            </a:r>
            <a:r>
              <a:rPr lang="en-US" baseline="0"/>
              <a:t> Account Balance</a:t>
            </a:r>
            <a:endParaRPr lang="en-US"/>
          </a:p>
        </c:rich>
      </c:tx>
      <c:layout>
        <c:manualLayout>
          <c:xMode val="edge"/>
          <c:yMode val="edge"/>
          <c:x val="0.33707013072641284"/>
          <c:y val="2.66666759988367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numRef>
              <c:f>Data!$A$4:$A$264</c:f>
              <c:numCache>
                <c:formatCode>m/d/yyyy</c:formatCode>
                <c:ptCount val="261"/>
                <c:pt idx="0">
                  <c:v>42370</c:v>
                </c:pt>
                <c:pt idx="1">
                  <c:v>42373</c:v>
                </c:pt>
                <c:pt idx="2">
                  <c:v>42374</c:v>
                </c:pt>
                <c:pt idx="3">
                  <c:v>42375</c:v>
                </c:pt>
                <c:pt idx="4">
                  <c:v>42376</c:v>
                </c:pt>
                <c:pt idx="5">
                  <c:v>42377</c:v>
                </c:pt>
                <c:pt idx="6">
                  <c:v>42380</c:v>
                </c:pt>
                <c:pt idx="7">
                  <c:v>42381</c:v>
                </c:pt>
                <c:pt idx="8">
                  <c:v>42382</c:v>
                </c:pt>
                <c:pt idx="9">
                  <c:v>42383</c:v>
                </c:pt>
                <c:pt idx="10">
                  <c:v>42384</c:v>
                </c:pt>
                <c:pt idx="11">
                  <c:v>42387</c:v>
                </c:pt>
                <c:pt idx="12">
                  <c:v>42388</c:v>
                </c:pt>
                <c:pt idx="13">
                  <c:v>42389</c:v>
                </c:pt>
                <c:pt idx="14">
                  <c:v>42390</c:v>
                </c:pt>
                <c:pt idx="15">
                  <c:v>42391</c:v>
                </c:pt>
                <c:pt idx="16">
                  <c:v>42394</c:v>
                </c:pt>
                <c:pt idx="17">
                  <c:v>42395</c:v>
                </c:pt>
                <c:pt idx="18">
                  <c:v>42396</c:v>
                </c:pt>
                <c:pt idx="19">
                  <c:v>42397</c:v>
                </c:pt>
                <c:pt idx="20">
                  <c:v>42398</c:v>
                </c:pt>
                <c:pt idx="21">
                  <c:v>42401</c:v>
                </c:pt>
                <c:pt idx="22">
                  <c:v>42402</c:v>
                </c:pt>
                <c:pt idx="23">
                  <c:v>42403</c:v>
                </c:pt>
                <c:pt idx="24">
                  <c:v>42404</c:v>
                </c:pt>
                <c:pt idx="25">
                  <c:v>42405</c:v>
                </c:pt>
                <c:pt idx="26">
                  <c:v>42408</c:v>
                </c:pt>
                <c:pt idx="27">
                  <c:v>42409</c:v>
                </c:pt>
                <c:pt idx="28">
                  <c:v>42410</c:v>
                </c:pt>
                <c:pt idx="29">
                  <c:v>42411</c:v>
                </c:pt>
                <c:pt idx="30">
                  <c:v>42412</c:v>
                </c:pt>
                <c:pt idx="31">
                  <c:v>42415</c:v>
                </c:pt>
                <c:pt idx="32">
                  <c:v>42416</c:v>
                </c:pt>
                <c:pt idx="33">
                  <c:v>42417</c:v>
                </c:pt>
                <c:pt idx="34">
                  <c:v>42418</c:v>
                </c:pt>
                <c:pt idx="35">
                  <c:v>42419</c:v>
                </c:pt>
                <c:pt idx="36">
                  <c:v>42421</c:v>
                </c:pt>
                <c:pt idx="37">
                  <c:v>42423</c:v>
                </c:pt>
                <c:pt idx="38">
                  <c:v>42424</c:v>
                </c:pt>
                <c:pt idx="39">
                  <c:v>42425</c:v>
                </c:pt>
                <c:pt idx="40">
                  <c:v>42426</c:v>
                </c:pt>
                <c:pt idx="41">
                  <c:v>42429</c:v>
                </c:pt>
                <c:pt idx="42">
                  <c:v>42430</c:v>
                </c:pt>
                <c:pt idx="43">
                  <c:v>42431</c:v>
                </c:pt>
                <c:pt idx="44">
                  <c:v>42432</c:v>
                </c:pt>
                <c:pt idx="45">
                  <c:v>42433</c:v>
                </c:pt>
                <c:pt idx="46">
                  <c:v>42436</c:v>
                </c:pt>
                <c:pt idx="47">
                  <c:v>42437</c:v>
                </c:pt>
                <c:pt idx="48">
                  <c:v>42438</c:v>
                </c:pt>
                <c:pt idx="49">
                  <c:v>42439</c:v>
                </c:pt>
                <c:pt idx="50">
                  <c:v>42440</c:v>
                </c:pt>
                <c:pt idx="51">
                  <c:v>42443</c:v>
                </c:pt>
                <c:pt idx="52">
                  <c:v>42444</c:v>
                </c:pt>
                <c:pt idx="53">
                  <c:v>42445</c:v>
                </c:pt>
                <c:pt idx="54">
                  <c:v>42446</c:v>
                </c:pt>
                <c:pt idx="55">
                  <c:v>42447</c:v>
                </c:pt>
                <c:pt idx="56">
                  <c:v>42450</c:v>
                </c:pt>
                <c:pt idx="57">
                  <c:v>42451</c:v>
                </c:pt>
                <c:pt idx="58">
                  <c:v>42452</c:v>
                </c:pt>
                <c:pt idx="59">
                  <c:v>42453</c:v>
                </c:pt>
                <c:pt idx="60">
                  <c:v>42454</c:v>
                </c:pt>
                <c:pt idx="61">
                  <c:v>42457</c:v>
                </c:pt>
                <c:pt idx="62">
                  <c:v>42458</c:v>
                </c:pt>
                <c:pt idx="63">
                  <c:v>42459</c:v>
                </c:pt>
                <c:pt idx="64">
                  <c:v>42460</c:v>
                </c:pt>
                <c:pt idx="65">
                  <c:v>42461</c:v>
                </c:pt>
                <c:pt idx="66">
                  <c:v>42464</c:v>
                </c:pt>
                <c:pt idx="67">
                  <c:v>42465</c:v>
                </c:pt>
                <c:pt idx="68">
                  <c:v>42466</c:v>
                </c:pt>
                <c:pt idx="69">
                  <c:v>42467</c:v>
                </c:pt>
                <c:pt idx="70">
                  <c:v>42468</c:v>
                </c:pt>
                <c:pt idx="71">
                  <c:v>42471</c:v>
                </c:pt>
                <c:pt idx="72">
                  <c:v>42472</c:v>
                </c:pt>
                <c:pt idx="73">
                  <c:v>42473</c:v>
                </c:pt>
                <c:pt idx="74">
                  <c:v>42474</c:v>
                </c:pt>
                <c:pt idx="75">
                  <c:v>42475</c:v>
                </c:pt>
                <c:pt idx="76">
                  <c:v>42478</c:v>
                </c:pt>
                <c:pt idx="77">
                  <c:v>42479</c:v>
                </c:pt>
                <c:pt idx="78">
                  <c:v>42480</c:v>
                </c:pt>
                <c:pt idx="79">
                  <c:v>42481</c:v>
                </c:pt>
                <c:pt idx="80">
                  <c:v>42482</c:v>
                </c:pt>
                <c:pt idx="81">
                  <c:v>42485</c:v>
                </c:pt>
                <c:pt idx="82">
                  <c:v>42486</c:v>
                </c:pt>
                <c:pt idx="83">
                  <c:v>42487</c:v>
                </c:pt>
                <c:pt idx="84">
                  <c:v>42488</c:v>
                </c:pt>
                <c:pt idx="85">
                  <c:v>42489</c:v>
                </c:pt>
                <c:pt idx="86">
                  <c:v>42492</c:v>
                </c:pt>
                <c:pt idx="87">
                  <c:v>42493</c:v>
                </c:pt>
                <c:pt idx="88">
                  <c:v>42494</c:v>
                </c:pt>
                <c:pt idx="89">
                  <c:v>42495</c:v>
                </c:pt>
                <c:pt idx="90">
                  <c:v>42496</c:v>
                </c:pt>
                <c:pt idx="91">
                  <c:v>42499</c:v>
                </c:pt>
                <c:pt idx="92">
                  <c:v>42500</c:v>
                </c:pt>
                <c:pt idx="93">
                  <c:v>42501</c:v>
                </c:pt>
                <c:pt idx="94">
                  <c:v>42502</c:v>
                </c:pt>
                <c:pt idx="95">
                  <c:v>42503</c:v>
                </c:pt>
                <c:pt idx="96">
                  <c:v>42506</c:v>
                </c:pt>
                <c:pt idx="97">
                  <c:v>42507</c:v>
                </c:pt>
                <c:pt idx="98">
                  <c:v>42508</c:v>
                </c:pt>
                <c:pt idx="99">
                  <c:v>42509</c:v>
                </c:pt>
                <c:pt idx="100">
                  <c:v>42510</c:v>
                </c:pt>
                <c:pt idx="101">
                  <c:v>42513</c:v>
                </c:pt>
                <c:pt idx="102">
                  <c:v>42514</c:v>
                </c:pt>
                <c:pt idx="103">
                  <c:v>42515</c:v>
                </c:pt>
                <c:pt idx="104">
                  <c:v>42516</c:v>
                </c:pt>
                <c:pt idx="105">
                  <c:v>42517</c:v>
                </c:pt>
                <c:pt idx="106">
                  <c:v>42520</c:v>
                </c:pt>
                <c:pt idx="107">
                  <c:v>42521</c:v>
                </c:pt>
                <c:pt idx="108">
                  <c:v>42522</c:v>
                </c:pt>
                <c:pt idx="109">
                  <c:v>42523</c:v>
                </c:pt>
                <c:pt idx="110">
                  <c:v>42524</c:v>
                </c:pt>
                <c:pt idx="111">
                  <c:v>42527</c:v>
                </c:pt>
                <c:pt idx="112">
                  <c:v>42528</c:v>
                </c:pt>
                <c:pt idx="113">
                  <c:v>42529</c:v>
                </c:pt>
                <c:pt idx="114">
                  <c:v>42530</c:v>
                </c:pt>
                <c:pt idx="115">
                  <c:v>42531</c:v>
                </c:pt>
                <c:pt idx="116">
                  <c:v>42534</c:v>
                </c:pt>
                <c:pt idx="117">
                  <c:v>42535</c:v>
                </c:pt>
                <c:pt idx="118">
                  <c:v>42536</c:v>
                </c:pt>
                <c:pt idx="119">
                  <c:v>42537</c:v>
                </c:pt>
                <c:pt idx="120">
                  <c:v>42538</c:v>
                </c:pt>
                <c:pt idx="121">
                  <c:v>42541</c:v>
                </c:pt>
                <c:pt idx="122">
                  <c:v>42542</c:v>
                </c:pt>
                <c:pt idx="123">
                  <c:v>42543</c:v>
                </c:pt>
                <c:pt idx="124" formatCode="[$-F800]dddd\,\ mmmm\ dd\,\ yyyy">
                  <c:v>42544</c:v>
                </c:pt>
                <c:pt idx="125" formatCode="[$-F800]dddd\,\ mmmm\ dd\,\ yyyy">
                  <c:v>42545</c:v>
                </c:pt>
                <c:pt idx="126" formatCode="[$-F800]dddd\,\ mmmm\ dd\,\ yyyy">
                  <c:v>42548</c:v>
                </c:pt>
                <c:pt idx="127" formatCode="[$-F800]dddd\,\ mmmm\ dd\,\ yyyy">
                  <c:v>42549</c:v>
                </c:pt>
                <c:pt idx="128" formatCode="[$-F800]dddd\,\ mmmm\ dd\,\ yyyy">
                  <c:v>42550</c:v>
                </c:pt>
                <c:pt idx="129" formatCode="[$-F800]dddd\,\ mmmm\ dd\,\ yyyy">
                  <c:v>42551</c:v>
                </c:pt>
                <c:pt idx="130" formatCode="[$-F800]dddd\,\ mmmm\ dd\,\ yyyy">
                  <c:v>42552</c:v>
                </c:pt>
                <c:pt idx="131" formatCode="[$-F800]dddd\,\ mmmm\ dd\,\ yyyy">
                  <c:v>42555</c:v>
                </c:pt>
                <c:pt idx="132" formatCode="[$-F800]dddd\,\ mmmm\ dd\,\ yyyy">
                  <c:v>42556</c:v>
                </c:pt>
                <c:pt idx="133" formatCode="[$-F800]dddd\,\ mmmm\ dd\,\ yyyy">
                  <c:v>42557</c:v>
                </c:pt>
                <c:pt idx="134" formatCode="[$-F800]dddd\,\ mmmm\ dd\,\ yyyy">
                  <c:v>42558</c:v>
                </c:pt>
                <c:pt idx="135" formatCode="[$-F800]dddd\,\ mmmm\ dd\,\ yyyy">
                  <c:v>42559</c:v>
                </c:pt>
                <c:pt idx="136" formatCode="[$-F800]dddd\,\ mmmm\ dd\,\ yyyy">
                  <c:v>42562</c:v>
                </c:pt>
                <c:pt idx="137" formatCode="[$-F800]dddd\,\ mmmm\ dd\,\ yyyy">
                  <c:v>42563</c:v>
                </c:pt>
                <c:pt idx="138" formatCode="[$-F800]dddd\,\ mmmm\ dd\,\ yyyy">
                  <c:v>42564</c:v>
                </c:pt>
                <c:pt idx="139" formatCode="[$-F800]dddd\,\ mmmm\ dd\,\ yyyy">
                  <c:v>42565</c:v>
                </c:pt>
                <c:pt idx="140" formatCode="[$-F800]dddd\,\ mmmm\ dd\,\ yyyy">
                  <c:v>42566</c:v>
                </c:pt>
                <c:pt idx="141" formatCode="[$-F800]dddd\,\ mmmm\ dd\,\ yyyy">
                  <c:v>42569</c:v>
                </c:pt>
                <c:pt idx="142" formatCode="[$-F800]dddd\,\ mmmm\ dd\,\ yyyy">
                  <c:v>42570</c:v>
                </c:pt>
                <c:pt idx="143" formatCode="[$-F800]dddd\,\ mmmm\ dd\,\ yyyy">
                  <c:v>42571</c:v>
                </c:pt>
                <c:pt idx="144" formatCode="[$-F800]dddd\,\ mmmm\ dd\,\ yyyy">
                  <c:v>42572</c:v>
                </c:pt>
                <c:pt idx="145" formatCode="[$-F800]dddd\,\ mmmm\ dd\,\ yyyy">
                  <c:v>42573</c:v>
                </c:pt>
                <c:pt idx="146" formatCode="[$-F800]dddd\,\ mmmm\ dd\,\ yyyy">
                  <c:v>42576</c:v>
                </c:pt>
                <c:pt idx="147" formatCode="[$-F800]dddd\,\ mmmm\ dd\,\ yyyy">
                  <c:v>42577</c:v>
                </c:pt>
                <c:pt idx="148" formatCode="[$-F800]dddd\,\ mmmm\ dd\,\ yyyy">
                  <c:v>42578</c:v>
                </c:pt>
                <c:pt idx="149" formatCode="[$-F800]dddd\,\ mmmm\ dd\,\ yyyy">
                  <c:v>42579</c:v>
                </c:pt>
                <c:pt idx="150" formatCode="[$-F800]dddd\,\ mmmm\ dd\,\ yyyy">
                  <c:v>42580</c:v>
                </c:pt>
                <c:pt idx="151" formatCode="[$-F800]dddd\,\ mmmm\ dd\,\ yyyy">
                  <c:v>42583</c:v>
                </c:pt>
                <c:pt idx="152" formatCode="[$-F800]dddd\,\ mmmm\ dd\,\ yyyy">
                  <c:v>42584</c:v>
                </c:pt>
                <c:pt idx="153" formatCode="[$-F800]dddd\,\ mmmm\ dd\,\ yyyy">
                  <c:v>42585</c:v>
                </c:pt>
                <c:pt idx="154" formatCode="[$-F800]dddd\,\ mmmm\ dd\,\ yyyy">
                  <c:v>42586</c:v>
                </c:pt>
                <c:pt idx="155" formatCode="[$-F800]dddd\,\ mmmm\ dd\,\ yyyy">
                  <c:v>42587</c:v>
                </c:pt>
                <c:pt idx="156" formatCode="[$-F800]dddd\,\ mmmm\ dd\,\ yyyy">
                  <c:v>42590</c:v>
                </c:pt>
                <c:pt idx="157" formatCode="[$-F800]dddd\,\ mmmm\ dd\,\ yyyy">
                  <c:v>42591</c:v>
                </c:pt>
                <c:pt idx="158" formatCode="[$-F800]dddd\,\ mmmm\ dd\,\ yyyy">
                  <c:v>42592</c:v>
                </c:pt>
                <c:pt idx="159" formatCode="[$-F800]dddd\,\ mmmm\ dd\,\ yyyy">
                  <c:v>42593</c:v>
                </c:pt>
                <c:pt idx="160" formatCode="[$-F800]dddd\,\ mmmm\ dd\,\ yyyy">
                  <c:v>42594</c:v>
                </c:pt>
                <c:pt idx="161" formatCode="[$-F800]dddd\,\ mmmm\ dd\,\ yyyy">
                  <c:v>42597</c:v>
                </c:pt>
                <c:pt idx="162" formatCode="[$-F800]dddd\,\ mmmm\ dd\,\ yyyy">
                  <c:v>42598</c:v>
                </c:pt>
                <c:pt idx="163" formatCode="[$-F800]dddd\,\ mmmm\ dd\,\ yyyy">
                  <c:v>42599</c:v>
                </c:pt>
                <c:pt idx="164" formatCode="[$-F800]dddd\,\ mmmm\ dd\,\ yyyy">
                  <c:v>42600</c:v>
                </c:pt>
                <c:pt idx="165" formatCode="[$-F800]dddd\,\ mmmm\ dd\,\ yyyy">
                  <c:v>42601</c:v>
                </c:pt>
                <c:pt idx="166" formatCode="[$-F800]dddd\,\ mmmm\ dd\,\ yyyy">
                  <c:v>42604</c:v>
                </c:pt>
                <c:pt idx="167" formatCode="[$-F800]dddd\,\ mmmm\ dd\,\ yyyy">
                  <c:v>42605</c:v>
                </c:pt>
                <c:pt idx="168" formatCode="[$-F800]dddd\,\ mmmm\ dd\,\ yyyy">
                  <c:v>42606</c:v>
                </c:pt>
                <c:pt idx="169" formatCode="[$-F800]dddd\,\ mmmm\ dd\,\ yyyy">
                  <c:v>42607</c:v>
                </c:pt>
                <c:pt idx="170" formatCode="[$-F800]dddd\,\ mmmm\ dd\,\ yyyy">
                  <c:v>42608</c:v>
                </c:pt>
                <c:pt idx="171" formatCode="[$-F800]dddd\,\ mmmm\ dd\,\ yyyy">
                  <c:v>42611</c:v>
                </c:pt>
                <c:pt idx="172" formatCode="[$-F800]dddd\,\ mmmm\ dd\,\ yyyy">
                  <c:v>42612</c:v>
                </c:pt>
                <c:pt idx="173" formatCode="[$-F800]dddd\,\ mmmm\ dd\,\ yyyy">
                  <c:v>42613</c:v>
                </c:pt>
                <c:pt idx="174" formatCode="[$-F800]dddd\,\ mmmm\ dd\,\ yyyy">
                  <c:v>42614</c:v>
                </c:pt>
                <c:pt idx="175" formatCode="[$-F800]dddd\,\ mmmm\ dd\,\ yyyy">
                  <c:v>42615</c:v>
                </c:pt>
                <c:pt idx="176" formatCode="[$-F800]dddd\,\ mmmm\ dd\,\ yyyy">
                  <c:v>42618</c:v>
                </c:pt>
                <c:pt idx="177" formatCode="[$-F800]dddd\,\ mmmm\ dd\,\ yyyy">
                  <c:v>42619</c:v>
                </c:pt>
                <c:pt idx="178" formatCode="[$-F800]dddd\,\ mmmm\ dd\,\ yyyy">
                  <c:v>42620</c:v>
                </c:pt>
                <c:pt idx="179" formatCode="[$-F800]dddd\,\ mmmm\ dd\,\ yyyy">
                  <c:v>42621</c:v>
                </c:pt>
                <c:pt idx="180" formatCode="[$-F800]dddd\,\ mmmm\ dd\,\ yyyy">
                  <c:v>42622</c:v>
                </c:pt>
                <c:pt idx="181" formatCode="[$-F800]dddd\,\ mmmm\ dd\,\ yyyy">
                  <c:v>42625</c:v>
                </c:pt>
                <c:pt idx="182" formatCode="[$-F800]dddd\,\ mmmm\ dd\,\ yyyy">
                  <c:v>42626</c:v>
                </c:pt>
                <c:pt idx="183" formatCode="[$-F800]dddd\,\ mmmm\ dd\,\ yyyy">
                  <c:v>42627</c:v>
                </c:pt>
                <c:pt idx="184" formatCode="[$-F800]dddd\,\ mmmm\ dd\,\ yyyy">
                  <c:v>42628</c:v>
                </c:pt>
                <c:pt idx="185" formatCode="[$-F800]dddd\,\ mmmm\ dd\,\ yyyy">
                  <c:v>42629</c:v>
                </c:pt>
                <c:pt idx="186" formatCode="[$-F800]dddd\,\ mmmm\ dd\,\ yyyy">
                  <c:v>42632</c:v>
                </c:pt>
                <c:pt idx="187" formatCode="[$-F800]dddd\,\ mmmm\ dd\,\ yyyy">
                  <c:v>42633</c:v>
                </c:pt>
                <c:pt idx="188" formatCode="[$-F800]dddd\,\ mmmm\ dd\,\ yyyy">
                  <c:v>42634</c:v>
                </c:pt>
                <c:pt idx="189" formatCode="[$-F800]dddd\,\ mmmm\ dd\,\ yyyy">
                  <c:v>42635</c:v>
                </c:pt>
                <c:pt idx="190" formatCode="[$-F800]dddd\,\ mmmm\ dd\,\ yyyy">
                  <c:v>42636</c:v>
                </c:pt>
                <c:pt idx="191" formatCode="[$-F800]dddd\,\ mmmm\ dd\,\ yyyy">
                  <c:v>42639</c:v>
                </c:pt>
                <c:pt idx="192" formatCode="[$-F800]dddd\,\ mmmm\ dd\,\ yyyy">
                  <c:v>42640</c:v>
                </c:pt>
                <c:pt idx="193" formatCode="[$-F800]dddd\,\ mmmm\ dd\,\ yyyy">
                  <c:v>42641</c:v>
                </c:pt>
                <c:pt idx="194" formatCode="[$-F800]dddd\,\ mmmm\ dd\,\ yyyy">
                  <c:v>42642</c:v>
                </c:pt>
                <c:pt idx="195" formatCode="[$-F800]dddd\,\ mmmm\ dd\,\ yyyy">
                  <c:v>42643</c:v>
                </c:pt>
                <c:pt idx="196" formatCode="[$-F800]dddd\,\ mmmm\ dd\,\ yyyy">
                  <c:v>42646</c:v>
                </c:pt>
                <c:pt idx="197" formatCode="[$-F800]dddd\,\ mmmm\ dd\,\ yyyy">
                  <c:v>42647</c:v>
                </c:pt>
                <c:pt idx="198" formatCode="[$-F800]dddd\,\ mmmm\ dd\,\ yyyy">
                  <c:v>42648</c:v>
                </c:pt>
                <c:pt idx="199" formatCode="[$-F800]dddd\,\ mmmm\ dd\,\ yyyy">
                  <c:v>42649</c:v>
                </c:pt>
                <c:pt idx="200" formatCode="[$-F800]dddd\,\ mmmm\ dd\,\ yyyy">
                  <c:v>42650</c:v>
                </c:pt>
                <c:pt idx="201" formatCode="[$-F800]dddd\,\ mmmm\ dd\,\ yyyy">
                  <c:v>42653</c:v>
                </c:pt>
                <c:pt idx="202" formatCode="[$-F800]dddd\,\ mmmm\ dd\,\ yyyy">
                  <c:v>42654</c:v>
                </c:pt>
                <c:pt idx="203" formatCode="[$-F800]dddd\,\ mmmm\ dd\,\ yyyy">
                  <c:v>42655</c:v>
                </c:pt>
                <c:pt idx="204" formatCode="[$-F800]dddd\,\ mmmm\ dd\,\ yyyy">
                  <c:v>42656</c:v>
                </c:pt>
                <c:pt idx="205" formatCode="[$-F800]dddd\,\ mmmm\ dd\,\ yyyy">
                  <c:v>42657</c:v>
                </c:pt>
                <c:pt idx="206" formatCode="[$-F800]dddd\,\ mmmm\ dd\,\ yyyy">
                  <c:v>42660</c:v>
                </c:pt>
                <c:pt idx="207" formatCode="[$-F800]dddd\,\ mmmm\ dd\,\ yyyy">
                  <c:v>42661</c:v>
                </c:pt>
                <c:pt idx="208" formatCode="[$-F800]dddd\,\ mmmm\ dd\,\ yyyy">
                  <c:v>42662</c:v>
                </c:pt>
                <c:pt idx="209" formatCode="[$-F800]dddd\,\ mmmm\ dd\,\ yyyy">
                  <c:v>42663</c:v>
                </c:pt>
                <c:pt idx="210" formatCode="[$-F800]dddd\,\ mmmm\ dd\,\ yyyy">
                  <c:v>42664</c:v>
                </c:pt>
                <c:pt idx="211" formatCode="[$-F800]dddd\,\ mmmm\ dd\,\ yyyy">
                  <c:v>42667</c:v>
                </c:pt>
                <c:pt idx="212" formatCode="[$-F800]dddd\,\ mmmm\ dd\,\ yyyy">
                  <c:v>42668</c:v>
                </c:pt>
                <c:pt idx="213" formatCode="[$-F800]dddd\,\ mmmm\ dd\,\ yyyy">
                  <c:v>42669</c:v>
                </c:pt>
                <c:pt idx="214" formatCode="[$-F800]dddd\,\ mmmm\ dd\,\ yyyy">
                  <c:v>42670</c:v>
                </c:pt>
                <c:pt idx="215" formatCode="[$-F800]dddd\,\ mmmm\ dd\,\ yyyy">
                  <c:v>42671</c:v>
                </c:pt>
                <c:pt idx="216" formatCode="[$-F800]dddd\,\ mmmm\ dd\,\ yyyy">
                  <c:v>42674</c:v>
                </c:pt>
                <c:pt idx="217" formatCode="[$-F800]dddd\,\ mmmm\ dd\,\ yyyy">
                  <c:v>42675</c:v>
                </c:pt>
                <c:pt idx="218" formatCode="[$-F800]dddd\,\ mmmm\ dd\,\ yyyy">
                  <c:v>42676</c:v>
                </c:pt>
                <c:pt idx="219" formatCode="[$-F800]dddd\,\ mmmm\ dd\,\ yyyy">
                  <c:v>42677</c:v>
                </c:pt>
                <c:pt idx="220" formatCode="[$-F800]dddd\,\ mmmm\ dd\,\ yyyy">
                  <c:v>42678</c:v>
                </c:pt>
                <c:pt idx="221" formatCode="[$-F800]dddd\,\ mmmm\ dd\,\ yyyy">
                  <c:v>42681</c:v>
                </c:pt>
                <c:pt idx="222" formatCode="[$-F800]dddd\,\ mmmm\ dd\,\ yyyy">
                  <c:v>42682</c:v>
                </c:pt>
                <c:pt idx="223" formatCode="[$-F800]dddd\,\ mmmm\ dd\,\ yyyy">
                  <c:v>42683</c:v>
                </c:pt>
                <c:pt idx="224" formatCode="[$-F800]dddd\,\ mmmm\ dd\,\ yyyy">
                  <c:v>42684</c:v>
                </c:pt>
                <c:pt idx="225" formatCode="[$-F800]dddd\,\ mmmm\ dd\,\ yyyy">
                  <c:v>42685</c:v>
                </c:pt>
                <c:pt idx="226" formatCode="[$-F800]dddd\,\ mmmm\ dd\,\ yyyy">
                  <c:v>42688</c:v>
                </c:pt>
                <c:pt idx="227" formatCode="[$-F800]dddd\,\ mmmm\ dd\,\ yyyy">
                  <c:v>42689</c:v>
                </c:pt>
                <c:pt idx="228" formatCode="[$-F800]dddd\,\ mmmm\ dd\,\ yyyy">
                  <c:v>42690</c:v>
                </c:pt>
                <c:pt idx="229" formatCode="[$-F800]dddd\,\ mmmm\ dd\,\ yyyy">
                  <c:v>42691</c:v>
                </c:pt>
                <c:pt idx="230" formatCode="[$-F800]dddd\,\ mmmm\ dd\,\ yyyy">
                  <c:v>42692</c:v>
                </c:pt>
                <c:pt idx="231" formatCode="[$-F800]dddd\,\ mmmm\ dd\,\ yyyy">
                  <c:v>42695</c:v>
                </c:pt>
                <c:pt idx="232" formatCode="[$-F800]dddd\,\ mmmm\ dd\,\ yyyy">
                  <c:v>42696</c:v>
                </c:pt>
                <c:pt idx="233" formatCode="[$-F800]dddd\,\ mmmm\ dd\,\ yyyy">
                  <c:v>42697</c:v>
                </c:pt>
                <c:pt idx="234" formatCode="[$-F800]dddd\,\ mmmm\ dd\,\ yyyy">
                  <c:v>42698</c:v>
                </c:pt>
                <c:pt idx="235" formatCode="[$-F800]dddd\,\ mmmm\ dd\,\ yyyy">
                  <c:v>42699</c:v>
                </c:pt>
                <c:pt idx="236" formatCode="[$-F800]dddd\,\ mmmm\ dd\,\ yyyy">
                  <c:v>42702</c:v>
                </c:pt>
                <c:pt idx="237" formatCode="[$-F800]dddd\,\ mmmm\ dd\,\ yyyy">
                  <c:v>42703</c:v>
                </c:pt>
                <c:pt idx="238" formatCode="[$-F800]dddd\,\ mmmm\ dd\,\ yyyy">
                  <c:v>42704</c:v>
                </c:pt>
                <c:pt idx="239" formatCode="[$-F800]dddd\,\ mmmm\ dd\,\ yyyy">
                  <c:v>42705</c:v>
                </c:pt>
                <c:pt idx="240" formatCode="[$-F800]dddd\,\ mmmm\ dd\,\ yyyy">
                  <c:v>42706</c:v>
                </c:pt>
                <c:pt idx="241" formatCode="[$-F800]dddd\,\ mmmm\ dd\,\ yyyy">
                  <c:v>42709</c:v>
                </c:pt>
                <c:pt idx="242" formatCode="[$-F800]dddd\,\ mmmm\ dd\,\ yyyy">
                  <c:v>42710</c:v>
                </c:pt>
                <c:pt idx="243" formatCode="[$-F800]dddd\,\ mmmm\ dd\,\ yyyy">
                  <c:v>42711</c:v>
                </c:pt>
                <c:pt idx="244" formatCode="[$-F800]dddd\,\ mmmm\ dd\,\ yyyy">
                  <c:v>42712</c:v>
                </c:pt>
                <c:pt idx="245" formatCode="[$-F800]dddd\,\ mmmm\ dd\,\ yyyy">
                  <c:v>42713</c:v>
                </c:pt>
                <c:pt idx="246" formatCode="[$-F800]dddd\,\ mmmm\ dd\,\ yyyy">
                  <c:v>42716</c:v>
                </c:pt>
                <c:pt idx="247" formatCode="[$-F800]dddd\,\ mmmm\ dd\,\ yyyy">
                  <c:v>42717</c:v>
                </c:pt>
                <c:pt idx="248" formatCode="[$-F800]dddd\,\ mmmm\ dd\,\ yyyy">
                  <c:v>42718</c:v>
                </c:pt>
                <c:pt idx="249" formatCode="[$-F800]dddd\,\ mmmm\ dd\,\ yyyy">
                  <c:v>42719</c:v>
                </c:pt>
                <c:pt idx="250" formatCode="[$-F800]dddd\,\ mmmm\ dd\,\ yyyy">
                  <c:v>42720</c:v>
                </c:pt>
                <c:pt idx="251" formatCode="[$-F800]dddd\,\ mmmm\ dd\,\ yyyy">
                  <c:v>42723</c:v>
                </c:pt>
                <c:pt idx="252" formatCode="[$-F800]dddd\,\ mmmm\ dd\,\ yyyy">
                  <c:v>42724</c:v>
                </c:pt>
                <c:pt idx="253" formatCode="[$-F800]dddd\,\ mmmm\ dd\,\ yyyy">
                  <c:v>42725</c:v>
                </c:pt>
                <c:pt idx="254" formatCode="[$-F800]dddd\,\ mmmm\ dd\,\ yyyy">
                  <c:v>42726</c:v>
                </c:pt>
                <c:pt idx="255" formatCode="[$-F800]dddd\,\ mmmm\ dd\,\ yyyy">
                  <c:v>42727</c:v>
                </c:pt>
                <c:pt idx="256" formatCode="[$-F800]dddd\,\ mmmm\ dd\,\ yyyy">
                  <c:v>42730</c:v>
                </c:pt>
                <c:pt idx="257" formatCode="[$-F800]dddd\,\ mmmm\ dd\,\ yyyy">
                  <c:v>42731</c:v>
                </c:pt>
                <c:pt idx="258" formatCode="[$-F800]dddd\,\ mmmm\ dd\,\ yyyy">
                  <c:v>42732</c:v>
                </c:pt>
                <c:pt idx="259" formatCode="[$-F800]dddd\,\ mmmm\ dd\,\ yyyy">
                  <c:v>42733</c:v>
                </c:pt>
                <c:pt idx="260" formatCode="[$-F800]dddd\,\ mmmm\ dd\,\ yyyy">
                  <c:v>42734</c:v>
                </c:pt>
              </c:numCache>
            </c:numRef>
          </c:cat>
          <c:val>
            <c:numRef>
              <c:f>Data!$B$4:$B$264</c:f>
              <c:numCache>
                <c:formatCode>#,##0_);[Red]\(#,##0\)</c:formatCode>
                <c:ptCount val="261"/>
                <c:pt idx="0">
                  <c:v>316020.78000000003</c:v>
                </c:pt>
                <c:pt idx="1">
                  <c:v>315970.78000000003</c:v>
                </c:pt>
                <c:pt idx="2">
                  <c:v>320557.63</c:v>
                </c:pt>
                <c:pt idx="3">
                  <c:v>320557.63</c:v>
                </c:pt>
                <c:pt idx="4">
                  <c:v>323108.86</c:v>
                </c:pt>
                <c:pt idx="5">
                  <c:v>323108.86</c:v>
                </c:pt>
                <c:pt idx="6">
                  <c:v>323239.86</c:v>
                </c:pt>
                <c:pt idx="7">
                  <c:v>288792.71999999997</c:v>
                </c:pt>
                <c:pt idx="8">
                  <c:v>288792.71999999997</c:v>
                </c:pt>
                <c:pt idx="9">
                  <c:v>277881.3</c:v>
                </c:pt>
                <c:pt idx="10">
                  <c:v>293922.15000000002</c:v>
                </c:pt>
                <c:pt idx="11">
                  <c:v>293922.15000000002</c:v>
                </c:pt>
                <c:pt idx="12">
                  <c:v>293922.15000000002</c:v>
                </c:pt>
                <c:pt idx="13">
                  <c:v>294002.2</c:v>
                </c:pt>
                <c:pt idx="14">
                  <c:v>285645.33</c:v>
                </c:pt>
                <c:pt idx="15">
                  <c:v>285645.33</c:v>
                </c:pt>
                <c:pt idx="16">
                  <c:v>310939.57</c:v>
                </c:pt>
                <c:pt idx="17">
                  <c:v>285520.28000000003</c:v>
                </c:pt>
                <c:pt idx="18">
                  <c:v>285520.28000000003</c:v>
                </c:pt>
                <c:pt idx="19">
                  <c:v>282022.58</c:v>
                </c:pt>
                <c:pt idx="20">
                  <c:v>294848.15999999997</c:v>
                </c:pt>
                <c:pt idx="21">
                  <c:v>295971.7</c:v>
                </c:pt>
                <c:pt idx="22">
                  <c:v>342700.41</c:v>
                </c:pt>
                <c:pt idx="23">
                  <c:v>342700.41</c:v>
                </c:pt>
                <c:pt idx="24">
                  <c:v>337638.63</c:v>
                </c:pt>
                <c:pt idx="25">
                  <c:v>367843.39</c:v>
                </c:pt>
                <c:pt idx="26">
                  <c:v>367773.39</c:v>
                </c:pt>
                <c:pt idx="27">
                  <c:v>339527.33</c:v>
                </c:pt>
                <c:pt idx="28">
                  <c:v>339527.33</c:v>
                </c:pt>
                <c:pt idx="29">
                  <c:v>336968.79</c:v>
                </c:pt>
                <c:pt idx="30">
                  <c:v>337055.76</c:v>
                </c:pt>
                <c:pt idx="31">
                  <c:v>337055.76</c:v>
                </c:pt>
                <c:pt idx="32">
                  <c:v>337055.76</c:v>
                </c:pt>
                <c:pt idx="33">
                  <c:v>365266.06</c:v>
                </c:pt>
                <c:pt idx="34">
                  <c:v>360871.98</c:v>
                </c:pt>
                <c:pt idx="35">
                  <c:v>360871.98</c:v>
                </c:pt>
                <c:pt idx="36">
                  <c:v>360871.98</c:v>
                </c:pt>
                <c:pt idx="37">
                  <c:v>355845.62</c:v>
                </c:pt>
                <c:pt idx="38">
                  <c:v>355845.62</c:v>
                </c:pt>
                <c:pt idx="39">
                  <c:v>345399.7</c:v>
                </c:pt>
                <c:pt idx="40">
                  <c:v>370500.69</c:v>
                </c:pt>
                <c:pt idx="41">
                  <c:v>389846.49</c:v>
                </c:pt>
                <c:pt idx="42">
                  <c:v>389846.49</c:v>
                </c:pt>
                <c:pt idx="43">
                  <c:v>389846.49</c:v>
                </c:pt>
                <c:pt idx="44">
                  <c:v>378391.97</c:v>
                </c:pt>
                <c:pt idx="45">
                  <c:v>424034.23</c:v>
                </c:pt>
                <c:pt idx="46">
                  <c:v>424034.23</c:v>
                </c:pt>
                <c:pt idx="47">
                  <c:v>386665.73</c:v>
                </c:pt>
                <c:pt idx="48">
                  <c:v>386665.73</c:v>
                </c:pt>
                <c:pt idx="49">
                  <c:v>389219.85</c:v>
                </c:pt>
                <c:pt idx="50">
                  <c:v>406100.98</c:v>
                </c:pt>
                <c:pt idx="51">
                  <c:v>407873.33</c:v>
                </c:pt>
                <c:pt idx="52">
                  <c:v>407992.23</c:v>
                </c:pt>
                <c:pt idx="53">
                  <c:v>433808.81</c:v>
                </c:pt>
                <c:pt idx="54">
                  <c:v>422290.94</c:v>
                </c:pt>
                <c:pt idx="55">
                  <c:v>468026.54</c:v>
                </c:pt>
                <c:pt idx="56">
                  <c:v>348026.54</c:v>
                </c:pt>
                <c:pt idx="57">
                  <c:v>312876.71000000002</c:v>
                </c:pt>
                <c:pt idx="58">
                  <c:v>314939.26</c:v>
                </c:pt>
                <c:pt idx="59">
                  <c:v>309254.23</c:v>
                </c:pt>
                <c:pt idx="60">
                  <c:v>308314.94</c:v>
                </c:pt>
                <c:pt idx="61">
                  <c:v>308314.94</c:v>
                </c:pt>
                <c:pt idx="62">
                  <c:v>308501.75</c:v>
                </c:pt>
                <c:pt idx="63">
                  <c:v>308501.75</c:v>
                </c:pt>
                <c:pt idx="64">
                  <c:v>309191.53000000003</c:v>
                </c:pt>
                <c:pt idx="65">
                  <c:v>309191.53000000003</c:v>
                </c:pt>
                <c:pt idx="66">
                  <c:v>273521.59999999998</c:v>
                </c:pt>
                <c:pt idx="67">
                  <c:v>273521.59999999998</c:v>
                </c:pt>
                <c:pt idx="68">
                  <c:v>272690.59999999998</c:v>
                </c:pt>
                <c:pt idx="69">
                  <c:v>269582.73</c:v>
                </c:pt>
                <c:pt idx="70">
                  <c:v>269582.73</c:v>
                </c:pt>
                <c:pt idx="71">
                  <c:v>269763.98</c:v>
                </c:pt>
                <c:pt idx="72">
                  <c:v>269763.98</c:v>
                </c:pt>
                <c:pt idx="73">
                  <c:v>269925.98</c:v>
                </c:pt>
                <c:pt idx="74">
                  <c:v>262853.87</c:v>
                </c:pt>
                <c:pt idx="75">
                  <c:v>285492.90999999997</c:v>
                </c:pt>
                <c:pt idx="76">
                  <c:v>248936.49</c:v>
                </c:pt>
                <c:pt idx="77">
                  <c:v>299276.93</c:v>
                </c:pt>
                <c:pt idx="78">
                  <c:v>298671.93</c:v>
                </c:pt>
                <c:pt idx="79">
                  <c:v>300188.76</c:v>
                </c:pt>
                <c:pt idx="80">
                  <c:v>320014.86</c:v>
                </c:pt>
                <c:pt idx="81">
                  <c:v>316702.44</c:v>
                </c:pt>
                <c:pt idx="82">
                  <c:v>316702.44</c:v>
                </c:pt>
                <c:pt idx="83">
                  <c:v>316945.44</c:v>
                </c:pt>
                <c:pt idx="84">
                  <c:v>320979.96999999997</c:v>
                </c:pt>
                <c:pt idx="85">
                  <c:v>320979.96999999997</c:v>
                </c:pt>
                <c:pt idx="86">
                  <c:v>285992.84000000003</c:v>
                </c:pt>
                <c:pt idx="87">
                  <c:v>286063.08</c:v>
                </c:pt>
                <c:pt idx="88">
                  <c:v>314586.46000000002</c:v>
                </c:pt>
                <c:pt idx="89">
                  <c:v>317747.52</c:v>
                </c:pt>
                <c:pt idx="90">
                  <c:v>317747.52</c:v>
                </c:pt>
                <c:pt idx="91">
                  <c:v>317647.52</c:v>
                </c:pt>
                <c:pt idx="92">
                  <c:v>354645.16</c:v>
                </c:pt>
                <c:pt idx="93">
                  <c:v>354645.16</c:v>
                </c:pt>
                <c:pt idx="94">
                  <c:v>334676.08</c:v>
                </c:pt>
                <c:pt idx="95">
                  <c:v>335053.34999999998</c:v>
                </c:pt>
                <c:pt idx="96">
                  <c:v>299641.7</c:v>
                </c:pt>
                <c:pt idx="97">
                  <c:v>299641.7</c:v>
                </c:pt>
                <c:pt idx="98">
                  <c:v>316034.81</c:v>
                </c:pt>
                <c:pt idx="99">
                  <c:v>320069.11</c:v>
                </c:pt>
                <c:pt idx="100">
                  <c:v>328514.03000000003</c:v>
                </c:pt>
                <c:pt idx="101">
                  <c:v>328514.03000000003</c:v>
                </c:pt>
                <c:pt idx="102">
                  <c:v>334541.26</c:v>
                </c:pt>
                <c:pt idx="103">
                  <c:v>329880.45</c:v>
                </c:pt>
                <c:pt idx="104">
                  <c:v>337992.17</c:v>
                </c:pt>
                <c:pt idx="105">
                  <c:v>347755.4</c:v>
                </c:pt>
                <c:pt idx="106">
                  <c:v>347755.4</c:v>
                </c:pt>
                <c:pt idx="107">
                  <c:v>312817.88</c:v>
                </c:pt>
                <c:pt idx="108">
                  <c:v>314571.3</c:v>
                </c:pt>
                <c:pt idx="109">
                  <c:v>302515.78000000003</c:v>
                </c:pt>
                <c:pt idx="110">
                  <c:v>302516</c:v>
                </c:pt>
                <c:pt idx="111">
                  <c:v>302516</c:v>
                </c:pt>
                <c:pt idx="112">
                  <c:v>302516</c:v>
                </c:pt>
                <c:pt idx="113">
                  <c:v>279865.95</c:v>
                </c:pt>
                <c:pt idx="114">
                  <c:v>279866</c:v>
                </c:pt>
                <c:pt idx="115">
                  <c:v>279866</c:v>
                </c:pt>
                <c:pt idx="116">
                  <c:v>279866</c:v>
                </c:pt>
                <c:pt idx="117">
                  <c:v>279866</c:v>
                </c:pt>
                <c:pt idx="118">
                  <c:v>290096.01</c:v>
                </c:pt>
                <c:pt idx="119">
                  <c:v>247423.5</c:v>
                </c:pt>
                <c:pt idx="120">
                  <c:v>247424</c:v>
                </c:pt>
                <c:pt idx="121">
                  <c:v>247424</c:v>
                </c:pt>
                <c:pt idx="122">
                  <c:v>255459.85</c:v>
                </c:pt>
                <c:pt idx="123">
                  <c:v>255460</c:v>
                </c:pt>
                <c:pt idx="124">
                  <c:v>240780.4</c:v>
                </c:pt>
                <c:pt idx="125">
                  <c:v>240780</c:v>
                </c:pt>
                <c:pt idx="126">
                  <c:v>205735.12</c:v>
                </c:pt>
                <c:pt idx="127">
                  <c:v>207489.37</c:v>
                </c:pt>
                <c:pt idx="128">
                  <c:v>213757.9</c:v>
                </c:pt>
                <c:pt idx="129">
                  <c:v>220332.56</c:v>
                </c:pt>
                <c:pt idx="130">
                  <c:v>212813.84</c:v>
                </c:pt>
                <c:pt idx="131">
                  <c:v>212814</c:v>
                </c:pt>
                <c:pt idx="132">
                  <c:v>236539.45</c:v>
                </c:pt>
                <c:pt idx="133">
                  <c:v>234224.42</c:v>
                </c:pt>
                <c:pt idx="134">
                  <c:v>234132.08</c:v>
                </c:pt>
                <c:pt idx="135">
                  <c:v>234132.08</c:v>
                </c:pt>
                <c:pt idx="136">
                  <c:v>199890.85</c:v>
                </c:pt>
                <c:pt idx="137">
                  <c:v>221114.27</c:v>
                </c:pt>
                <c:pt idx="138">
                  <c:v>221114</c:v>
                </c:pt>
                <c:pt idx="139">
                  <c:v>214752.25</c:v>
                </c:pt>
                <c:pt idx="140">
                  <c:v>294578.96999999997</c:v>
                </c:pt>
                <c:pt idx="141">
                  <c:v>294579</c:v>
                </c:pt>
                <c:pt idx="142">
                  <c:v>294579</c:v>
                </c:pt>
                <c:pt idx="143">
                  <c:v>328195.42</c:v>
                </c:pt>
                <c:pt idx="144">
                  <c:v>407865.86</c:v>
                </c:pt>
                <c:pt idx="145">
                  <c:v>409053.93</c:v>
                </c:pt>
                <c:pt idx="146">
                  <c:v>372421.56</c:v>
                </c:pt>
                <c:pt idx="147">
                  <c:v>375562.78</c:v>
                </c:pt>
                <c:pt idx="148">
                  <c:v>375563</c:v>
                </c:pt>
                <c:pt idx="149">
                  <c:v>366510.98</c:v>
                </c:pt>
                <c:pt idx="150">
                  <c:v>366609.48</c:v>
                </c:pt>
                <c:pt idx="151">
                  <c:v>382689.69</c:v>
                </c:pt>
                <c:pt idx="152">
                  <c:v>382690</c:v>
                </c:pt>
                <c:pt idx="153">
                  <c:v>387013.59</c:v>
                </c:pt>
                <c:pt idx="154">
                  <c:v>382543.7</c:v>
                </c:pt>
                <c:pt idx="155">
                  <c:v>382544</c:v>
                </c:pt>
                <c:pt idx="156">
                  <c:v>344510.17</c:v>
                </c:pt>
                <c:pt idx="157">
                  <c:v>350095.94</c:v>
                </c:pt>
                <c:pt idx="158">
                  <c:v>350096</c:v>
                </c:pt>
                <c:pt idx="159">
                  <c:v>355079.15</c:v>
                </c:pt>
                <c:pt idx="160">
                  <c:v>356502.11</c:v>
                </c:pt>
                <c:pt idx="161">
                  <c:v>408622.46</c:v>
                </c:pt>
                <c:pt idx="162">
                  <c:v>408622</c:v>
                </c:pt>
                <c:pt idx="163">
                  <c:v>408622</c:v>
                </c:pt>
                <c:pt idx="164">
                  <c:v>409931.67</c:v>
                </c:pt>
                <c:pt idx="165">
                  <c:v>410189.3</c:v>
                </c:pt>
                <c:pt idx="166">
                  <c:v>370399.56</c:v>
                </c:pt>
                <c:pt idx="167">
                  <c:v>370399.56</c:v>
                </c:pt>
                <c:pt idx="168">
                  <c:v>370400</c:v>
                </c:pt>
                <c:pt idx="169">
                  <c:v>359591.19</c:v>
                </c:pt>
                <c:pt idx="170">
                  <c:v>399163.14</c:v>
                </c:pt>
                <c:pt idx="171">
                  <c:v>407196.62</c:v>
                </c:pt>
                <c:pt idx="172">
                  <c:v>422526.97</c:v>
                </c:pt>
                <c:pt idx="173">
                  <c:v>479216.05</c:v>
                </c:pt>
                <c:pt idx="174">
                  <c:v>479216</c:v>
                </c:pt>
                <c:pt idx="175">
                  <c:v>479216</c:v>
                </c:pt>
                <c:pt idx="176">
                  <c:v>479216</c:v>
                </c:pt>
                <c:pt idx="177">
                  <c:v>440784.82</c:v>
                </c:pt>
                <c:pt idx="178">
                  <c:v>440785</c:v>
                </c:pt>
                <c:pt idx="179">
                  <c:v>445373.31</c:v>
                </c:pt>
                <c:pt idx="180">
                  <c:v>463896.46</c:v>
                </c:pt>
                <c:pt idx="181">
                  <c:v>463296.46</c:v>
                </c:pt>
                <c:pt idx="182">
                  <c:v>465024.54</c:v>
                </c:pt>
                <c:pt idx="183">
                  <c:v>465025</c:v>
                </c:pt>
                <c:pt idx="184">
                  <c:v>447444.34</c:v>
                </c:pt>
                <c:pt idx="185">
                  <c:v>451135.42</c:v>
                </c:pt>
                <c:pt idx="186">
                  <c:v>413924.51</c:v>
                </c:pt>
                <c:pt idx="187">
                  <c:v>395080.96000000002</c:v>
                </c:pt>
                <c:pt idx="188">
                  <c:v>393852.1</c:v>
                </c:pt>
                <c:pt idx="189">
                  <c:v>397757.18</c:v>
                </c:pt>
                <c:pt idx="190">
                  <c:v>397757</c:v>
                </c:pt>
                <c:pt idx="191">
                  <c:v>397757</c:v>
                </c:pt>
                <c:pt idx="192">
                  <c:v>403105.59</c:v>
                </c:pt>
                <c:pt idx="193">
                  <c:v>394170.51</c:v>
                </c:pt>
                <c:pt idx="194">
                  <c:v>397917.56</c:v>
                </c:pt>
                <c:pt idx="195">
                  <c:v>397918</c:v>
                </c:pt>
                <c:pt idx="196">
                  <c:v>361701.8</c:v>
                </c:pt>
                <c:pt idx="197">
                  <c:v>362031.95</c:v>
                </c:pt>
                <c:pt idx="198">
                  <c:v>362032</c:v>
                </c:pt>
                <c:pt idx="199">
                  <c:v>360433.13</c:v>
                </c:pt>
                <c:pt idx="200">
                  <c:v>361754.66</c:v>
                </c:pt>
                <c:pt idx="201">
                  <c:v>361755</c:v>
                </c:pt>
                <c:pt idx="202">
                  <c:v>361755</c:v>
                </c:pt>
                <c:pt idx="203">
                  <c:v>365429.62</c:v>
                </c:pt>
                <c:pt idx="204">
                  <c:v>375400.83</c:v>
                </c:pt>
                <c:pt idx="205">
                  <c:v>375484.03</c:v>
                </c:pt>
                <c:pt idx="206">
                  <c:v>339702.96</c:v>
                </c:pt>
                <c:pt idx="207">
                  <c:v>343741.39</c:v>
                </c:pt>
                <c:pt idx="208">
                  <c:v>343741</c:v>
                </c:pt>
                <c:pt idx="209">
                  <c:v>332267.31</c:v>
                </c:pt>
                <c:pt idx="210">
                  <c:v>332482.06</c:v>
                </c:pt>
                <c:pt idx="211">
                  <c:v>332482</c:v>
                </c:pt>
                <c:pt idx="212">
                  <c:v>337085.39</c:v>
                </c:pt>
                <c:pt idx="213">
                  <c:v>337085</c:v>
                </c:pt>
                <c:pt idx="214">
                  <c:v>333113.26</c:v>
                </c:pt>
                <c:pt idx="215">
                  <c:v>360993.03</c:v>
                </c:pt>
                <c:pt idx="216">
                  <c:v>350567.25</c:v>
                </c:pt>
                <c:pt idx="217">
                  <c:v>350939.21</c:v>
                </c:pt>
                <c:pt idx="218">
                  <c:v>350939</c:v>
                </c:pt>
                <c:pt idx="219">
                  <c:v>344148.64</c:v>
                </c:pt>
                <c:pt idx="220">
                  <c:v>399084.27</c:v>
                </c:pt>
                <c:pt idx="221">
                  <c:v>399084</c:v>
                </c:pt>
                <c:pt idx="222">
                  <c:v>403667.29</c:v>
                </c:pt>
                <c:pt idx="223">
                  <c:v>403667</c:v>
                </c:pt>
                <c:pt idx="224">
                  <c:v>383477.25</c:v>
                </c:pt>
                <c:pt idx="225">
                  <c:v>383477</c:v>
                </c:pt>
                <c:pt idx="226">
                  <c:v>347717.6</c:v>
                </c:pt>
                <c:pt idx="227">
                  <c:v>347836.75</c:v>
                </c:pt>
                <c:pt idx="228">
                  <c:v>347836.75</c:v>
                </c:pt>
                <c:pt idx="229">
                  <c:v>350935.56</c:v>
                </c:pt>
                <c:pt idx="230">
                  <c:v>350936</c:v>
                </c:pt>
                <c:pt idx="231">
                  <c:v>350936</c:v>
                </c:pt>
                <c:pt idx="232">
                  <c:v>351588.06</c:v>
                </c:pt>
                <c:pt idx="233">
                  <c:v>349477.96</c:v>
                </c:pt>
                <c:pt idx="234">
                  <c:v>349478</c:v>
                </c:pt>
                <c:pt idx="235">
                  <c:v>368170.66</c:v>
                </c:pt>
                <c:pt idx="236">
                  <c:v>368170.66</c:v>
                </c:pt>
                <c:pt idx="237">
                  <c:v>328902.64</c:v>
                </c:pt>
                <c:pt idx="238">
                  <c:v>338455.85</c:v>
                </c:pt>
                <c:pt idx="239">
                  <c:v>336997.18</c:v>
                </c:pt>
                <c:pt idx="240">
                  <c:v>342825.59</c:v>
                </c:pt>
                <c:pt idx="241">
                  <c:v>342826</c:v>
                </c:pt>
                <c:pt idx="242">
                  <c:v>344457.81</c:v>
                </c:pt>
                <c:pt idx="243">
                  <c:v>366772.64</c:v>
                </c:pt>
                <c:pt idx="244">
                  <c:v>366772.6</c:v>
                </c:pt>
                <c:pt idx="245">
                  <c:v>366773</c:v>
                </c:pt>
                <c:pt idx="246">
                  <c:v>366773</c:v>
                </c:pt>
                <c:pt idx="247">
                  <c:v>346535.44</c:v>
                </c:pt>
                <c:pt idx="248">
                  <c:v>346535</c:v>
                </c:pt>
                <c:pt idx="249">
                  <c:v>335522.11</c:v>
                </c:pt>
                <c:pt idx="250">
                  <c:v>335675.99</c:v>
                </c:pt>
                <c:pt idx="251">
                  <c:v>357268.43</c:v>
                </c:pt>
                <c:pt idx="252">
                  <c:v>357268</c:v>
                </c:pt>
                <c:pt idx="253">
                  <c:v>366192.91</c:v>
                </c:pt>
                <c:pt idx="254">
                  <c:v>377001.67</c:v>
                </c:pt>
                <c:pt idx="255">
                  <c:v>377329.67</c:v>
                </c:pt>
                <c:pt idx="256">
                  <c:v>377330</c:v>
                </c:pt>
                <c:pt idx="257">
                  <c:v>339782.53</c:v>
                </c:pt>
                <c:pt idx="258">
                  <c:v>339783</c:v>
                </c:pt>
                <c:pt idx="259">
                  <c:v>337987.77</c:v>
                </c:pt>
                <c:pt idx="260">
                  <c:v>354814.33</c:v>
                </c:pt>
              </c:numCache>
            </c:numRef>
          </c:val>
          <c:smooth val="0"/>
        </c:ser>
        <c:dLbls>
          <c:showLegendKey val="0"/>
          <c:showVal val="0"/>
          <c:showCatName val="0"/>
          <c:showSerName val="0"/>
          <c:showPercent val="0"/>
          <c:showBubbleSize val="0"/>
        </c:dLbls>
        <c:smooth val="0"/>
        <c:axId val="323604944"/>
        <c:axId val="323605328"/>
      </c:lineChart>
      <c:dateAx>
        <c:axId val="32360494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605328"/>
        <c:crosses val="autoZero"/>
        <c:auto val="1"/>
        <c:lblOffset val="100"/>
        <c:baseTimeUnit val="days"/>
      </c:dateAx>
      <c:valAx>
        <c:axId val="323605328"/>
        <c:scaling>
          <c:orientation val="minMax"/>
        </c:scaling>
        <c:delete val="0"/>
        <c:axPos val="l"/>
        <c:majorGridlines>
          <c:spPr>
            <a:ln w="9525" cap="flat" cmpd="sng" algn="ctr">
              <a:solidFill>
                <a:schemeClr val="accent1"/>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604944"/>
        <c:crosses val="autoZero"/>
        <c:crossBetween val="between"/>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7B85-6CAE-4CC9-9D97-14FD17EA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7</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6</cp:revision>
  <dcterms:created xsi:type="dcterms:W3CDTF">2017-01-21T17:19:00Z</dcterms:created>
  <dcterms:modified xsi:type="dcterms:W3CDTF">2017-01-23T14:13:00Z</dcterms:modified>
</cp:coreProperties>
</file>