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1E0050">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1E0050">
      <w:pPr>
        <w:ind w:left="-1440" w:right="-1440"/>
        <w:jc w:val="center"/>
        <w:rPr>
          <w:b/>
        </w:rPr>
      </w:pPr>
      <w:r w:rsidRPr="001E0050">
        <w:rPr>
          <w:b/>
        </w:rPr>
        <w:t>MEETING NOTES</w:t>
      </w:r>
    </w:p>
    <w:p w:rsidR="006D2E29" w:rsidRPr="001E0050" w:rsidRDefault="006D2E29" w:rsidP="001E0050">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691"/>
        <w:gridCol w:w="3791"/>
      </w:tblGrid>
      <w:tr w:rsidR="006D2E29" w:rsidRPr="001E0050" w:rsidTr="005E7D1E">
        <w:tc>
          <w:tcPr>
            <w:tcW w:w="10789" w:type="dxa"/>
            <w:gridSpan w:val="2"/>
          </w:tcPr>
          <w:p w:rsidR="006D2E29" w:rsidRPr="001E0050" w:rsidRDefault="006D2E29" w:rsidP="001E0050">
            <w:pPr>
              <w:rPr>
                <w:b/>
              </w:rPr>
            </w:pPr>
            <w:r w:rsidRPr="001E0050">
              <w:rPr>
                <w:b/>
              </w:rPr>
              <w:t xml:space="preserve">Committee:   </w:t>
            </w:r>
            <w:r w:rsidR="00E91034" w:rsidRPr="001E0050">
              <w:rPr>
                <w:b/>
              </w:rPr>
              <w:t>Budget and Finance</w:t>
            </w:r>
          </w:p>
        </w:tc>
        <w:tc>
          <w:tcPr>
            <w:tcW w:w="3791" w:type="dxa"/>
          </w:tcPr>
          <w:p w:rsidR="0055133D" w:rsidRPr="001E0050" w:rsidRDefault="006D2E29" w:rsidP="00E40D99">
            <w:pPr>
              <w:rPr>
                <w:b/>
              </w:rPr>
            </w:pPr>
            <w:r w:rsidRPr="001E0050">
              <w:rPr>
                <w:b/>
              </w:rPr>
              <w:t xml:space="preserve">Date:    </w:t>
            </w:r>
            <w:r w:rsidR="00E40D99">
              <w:rPr>
                <w:b/>
              </w:rPr>
              <w:t>March 21</w:t>
            </w:r>
            <w:r w:rsidR="006D2900">
              <w:rPr>
                <w:b/>
              </w:rPr>
              <w:t>, 2017</w:t>
            </w:r>
          </w:p>
        </w:tc>
      </w:tr>
      <w:tr w:rsidR="00D81AA6" w:rsidRPr="001E0050" w:rsidTr="007130EC">
        <w:trPr>
          <w:trHeight w:val="275"/>
        </w:trPr>
        <w:tc>
          <w:tcPr>
            <w:tcW w:w="10789" w:type="dxa"/>
            <w:gridSpan w:val="2"/>
            <w:vMerge w:val="restart"/>
            <w:vAlign w:val="center"/>
          </w:tcPr>
          <w:p w:rsidR="00D81AA6" w:rsidRPr="001E0050" w:rsidRDefault="00D81AA6" w:rsidP="007130EC">
            <w:pPr>
              <w:rPr>
                <w:b/>
              </w:rPr>
            </w:pPr>
            <w:r w:rsidRPr="001E0050">
              <w:rPr>
                <w:b/>
              </w:rPr>
              <w:t>Board Members Attending:</w:t>
            </w:r>
            <w:r w:rsidR="003F79C4">
              <w:rPr>
                <w:b/>
              </w:rPr>
              <w:t xml:space="preserve"> </w:t>
            </w:r>
            <w:r w:rsidR="00C27C64">
              <w:rPr>
                <w:b/>
              </w:rPr>
              <w:t>Robin Andrews, Ken Stall</w:t>
            </w:r>
            <w:r w:rsidR="006D2900">
              <w:rPr>
                <w:b/>
              </w:rPr>
              <w:t>, Jim Campion</w:t>
            </w:r>
            <w:r w:rsidR="00E40D99">
              <w:rPr>
                <w:b/>
              </w:rPr>
              <w:t>, Chelly Hegan (by phone)</w:t>
            </w:r>
          </w:p>
          <w:p w:rsidR="00D81AA6" w:rsidRPr="001E0050" w:rsidRDefault="00D81AA6" w:rsidP="007130EC">
            <w:r w:rsidRPr="001E0050">
              <w:rPr>
                <w:b/>
              </w:rPr>
              <w:t xml:space="preserve">Board Members Absent:  </w:t>
            </w:r>
            <w:r w:rsidR="003F79C4">
              <w:rPr>
                <w:b/>
              </w:rPr>
              <w:t>PJ Keeler</w:t>
            </w:r>
            <w:r w:rsidR="00810247">
              <w:rPr>
                <w:b/>
              </w:rPr>
              <w:t xml:space="preserve">, Lisa Evans </w:t>
            </w:r>
          </w:p>
        </w:tc>
        <w:tc>
          <w:tcPr>
            <w:tcW w:w="3791" w:type="dxa"/>
          </w:tcPr>
          <w:p w:rsidR="00D81AA6" w:rsidRPr="001E0050" w:rsidRDefault="00D81AA6" w:rsidP="00C27C64">
            <w:pPr>
              <w:rPr>
                <w:b/>
              </w:rPr>
            </w:pPr>
            <w:r w:rsidRPr="001E0050">
              <w:rPr>
                <w:b/>
              </w:rPr>
              <w:t xml:space="preserve">Guests: </w:t>
            </w:r>
            <w:r w:rsidR="00C27C64">
              <w:rPr>
                <w:b/>
              </w:rPr>
              <w:t>None</w:t>
            </w:r>
          </w:p>
        </w:tc>
      </w:tr>
      <w:tr w:rsidR="00D81AA6" w:rsidRPr="001E0050" w:rsidTr="005E7D1E">
        <w:trPr>
          <w:trHeight w:val="296"/>
        </w:trPr>
        <w:tc>
          <w:tcPr>
            <w:tcW w:w="10789" w:type="dxa"/>
            <w:gridSpan w:val="2"/>
            <w:vMerge/>
          </w:tcPr>
          <w:p w:rsidR="00D81AA6" w:rsidRPr="001E0050" w:rsidRDefault="00D81AA6" w:rsidP="001E0050">
            <w:pPr>
              <w:rPr>
                <w:b/>
              </w:rPr>
            </w:pPr>
          </w:p>
        </w:tc>
        <w:tc>
          <w:tcPr>
            <w:tcW w:w="3791" w:type="dxa"/>
          </w:tcPr>
          <w:p w:rsidR="00D81AA6" w:rsidRPr="001E0050" w:rsidRDefault="00D81AA6" w:rsidP="001E0050">
            <w:pPr>
              <w:rPr>
                <w:b/>
              </w:rPr>
            </w:pPr>
            <w:r w:rsidRPr="001E0050">
              <w:rPr>
                <w:b/>
              </w:rPr>
              <w:t>Staff Members Attending: Claire Parde</w:t>
            </w:r>
            <w:r w:rsidR="004E0E27">
              <w:rPr>
                <w:b/>
              </w:rPr>
              <w:t xml:space="preserve"> and John Ray</w:t>
            </w:r>
          </w:p>
        </w:tc>
      </w:tr>
      <w:tr w:rsidR="006D2E29" w:rsidRPr="001E0050" w:rsidTr="005E7D1E">
        <w:trPr>
          <w:trHeight w:val="345"/>
        </w:trPr>
        <w:tc>
          <w:tcPr>
            <w:tcW w:w="2098" w:type="dxa"/>
            <w:tcBorders>
              <w:top w:val="single" w:sz="8" w:space="0" w:color="auto"/>
              <w:left w:val="single" w:sz="8" w:space="0" w:color="auto"/>
              <w:bottom w:val="single" w:sz="4" w:space="0" w:color="auto"/>
              <w:right w:val="single" w:sz="8" w:space="0" w:color="auto"/>
            </w:tcBorders>
          </w:tcPr>
          <w:p w:rsidR="006D2E29" w:rsidRPr="001E0050" w:rsidRDefault="006D2E29" w:rsidP="00D81AA6">
            <w:pPr>
              <w:rPr>
                <w:b/>
              </w:rPr>
            </w:pPr>
            <w:r w:rsidRPr="001E0050">
              <w:rPr>
                <w:b/>
              </w:rPr>
              <w:t xml:space="preserve">TOPIC </w:t>
            </w:r>
          </w:p>
        </w:tc>
        <w:tc>
          <w:tcPr>
            <w:tcW w:w="12482"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1E0050">
            <w:pPr>
              <w:rPr>
                <w:b/>
              </w:rPr>
            </w:pPr>
            <w:r w:rsidRPr="001E0050">
              <w:rPr>
                <w:b/>
              </w:rPr>
              <w:t>SUMMARY OF TOPIC DISCUSSED</w:t>
            </w:r>
          </w:p>
        </w:tc>
      </w:tr>
      <w:tr w:rsidR="00E40D99" w:rsidRPr="001E0050" w:rsidTr="00CE644A">
        <w:trPr>
          <w:trHeight w:val="3338"/>
        </w:trPr>
        <w:tc>
          <w:tcPr>
            <w:tcW w:w="2098" w:type="dxa"/>
            <w:tcBorders>
              <w:top w:val="single" w:sz="4" w:space="0" w:color="auto"/>
              <w:left w:val="single" w:sz="8" w:space="0" w:color="auto"/>
              <w:bottom w:val="single" w:sz="4" w:space="0" w:color="auto"/>
              <w:right w:val="single" w:sz="4" w:space="0" w:color="auto"/>
            </w:tcBorders>
            <w:vAlign w:val="center"/>
          </w:tcPr>
          <w:p w:rsidR="00E40D99" w:rsidRDefault="00E40D99" w:rsidP="00E40D99">
            <w:r>
              <w:t>Update on Medicaid Transportation</w:t>
            </w:r>
          </w:p>
        </w:tc>
        <w:tc>
          <w:tcPr>
            <w:tcW w:w="12482" w:type="dxa"/>
            <w:gridSpan w:val="2"/>
            <w:tcBorders>
              <w:top w:val="single" w:sz="4" w:space="0" w:color="auto"/>
              <w:left w:val="single" w:sz="4" w:space="0" w:color="auto"/>
              <w:bottom w:val="single" w:sz="4" w:space="0" w:color="auto"/>
            </w:tcBorders>
            <w:vAlign w:val="center"/>
          </w:tcPr>
          <w:p w:rsidR="00E40D99" w:rsidRPr="00037CFB" w:rsidRDefault="00E40D99" w:rsidP="00E40D99">
            <w:pPr>
              <w:spacing w:before="100" w:beforeAutospacing="1" w:after="100" w:afterAutospacing="1"/>
              <w:jc w:val="both"/>
              <w:rPr>
                <w:color w:val="000000"/>
              </w:rPr>
            </w:pPr>
            <w:r>
              <w:t xml:space="preserve">Claire reported that </w:t>
            </w:r>
            <w:r w:rsidR="006C5404">
              <w:t>o</w:t>
            </w:r>
            <w:r w:rsidRPr="00037CFB">
              <w:rPr>
                <w:color w:val="000000"/>
              </w:rPr>
              <w:t>n Friday, February 24th, we learned that all our “standing orders” for group rides—the transportation we have been providing on a daily basis, for over three years, to Medicaid enrollees with serious mental illness living in group homes and traveling to and from PROS (the day habilitation program offered by the Mental Health Association in Hudson, NY)—had been reassigned to Adirondack Cab Co. from Ticonderoga, NY in Essex County, effective Monday, February 27</w:t>
            </w:r>
            <w:r w:rsidRPr="00037CFB">
              <w:rPr>
                <w:color w:val="000000"/>
                <w:vertAlign w:val="superscript"/>
              </w:rPr>
              <w:t>th</w:t>
            </w:r>
            <w:r w:rsidRPr="00037CFB">
              <w:rPr>
                <w:color w:val="000000"/>
              </w:rPr>
              <w:t xml:space="preserve">.  </w:t>
            </w:r>
          </w:p>
          <w:tbl>
            <w:tblPr>
              <w:tblpPr w:leftFromText="180" w:rightFromText="180" w:vertAnchor="text" w:horzAnchor="margin" w:tblpXSpec="center" w:tblpY="1256"/>
              <w:tblOverlap w:val="never"/>
              <w:tblW w:w="10670" w:type="dxa"/>
              <w:tblLook w:val="04A0" w:firstRow="1" w:lastRow="0" w:firstColumn="1" w:lastColumn="0" w:noHBand="0" w:noVBand="1"/>
            </w:tblPr>
            <w:tblGrid>
              <w:gridCol w:w="1822"/>
              <w:gridCol w:w="1207"/>
              <w:gridCol w:w="864"/>
              <w:gridCol w:w="864"/>
              <w:gridCol w:w="1059"/>
              <w:gridCol w:w="864"/>
              <w:gridCol w:w="864"/>
              <w:gridCol w:w="1398"/>
              <w:gridCol w:w="864"/>
              <w:gridCol w:w="864"/>
            </w:tblGrid>
            <w:tr w:rsidR="00E40D99" w:rsidRPr="00037CFB" w:rsidTr="007432A5">
              <w:trPr>
                <w:trHeight w:val="904"/>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D99" w:rsidRPr="00037CFB" w:rsidRDefault="00E40D99" w:rsidP="00E40D99">
                  <w:pPr>
                    <w:rPr>
                      <w:color w:val="000000"/>
                    </w:rPr>
                  </w:pPr>
                  <w:r w:rsidRPr="00037CFB">
                    <w:rPr>
                      <w:color w:val="000000"/>
                    </w:rPr>
                    <w:t> </w:t>
                  </w:r>
                </w:p>
              </w:tc>
              <w:tc>
                <w:tcPr>
                  <w:tcW w:w="1207" w:type="dxa"/>
                  <w:tcBorders>
                    <w:top w:val="single" w:sz="4" w:space="0" w:color="auto"/>
                    <w:left w:val="nil"/>
                    <w:bottom w:val="single" w:sz="4" w:space="0" w:color="auto"/>
                    <w:right w:val="single" w:sz="4" w:space="0" w:color="auto"/>
                  </w:tcBorders>
                  <w:shd w:val="clear" w:color="auto" w:fill="auto"/>
                  <w:vAlign w:val="bottom"/>
                  <w:hideMark/>
                </w:tcPr>
                <w:p w:rsidR="00E40D99" w:rsidRPr="00037CFB" w:rsidRDefault="00E40D99" w:rsidP="00E40D99">
                  <w:pPr>
                    <w:jc w:val="center"/>
                    <w:rPr>
                      <w:color w:val="000000"/>
                    </w:rPr>
                  </w:pPr>
                  <w:r w:rsidRPr="00037CFB">
                    <w:rPr>
                      <w:color w:val="000000"/>
                    </w:rPr>
                    <w:t>Unique Medicaid Clients</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E40D99" w:rsidRPr="00037CFB" w:rsidRDefault="00E40D99" w:rsidP="00E40D99">
                  <w:pPr>
                    <w:jc w:val="center"/>
                    <w:rPr>
                      <w:color w:val="000000"/>
                    </w:rPr>
                  </w:pPr>
                  <w:r w:rsidRPr="00037CFB">
                    <w:rPr>
                      <w:color w:val="000000"/>
                    </w:rPr>
                    <w:t>% of MA</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E40D99" w:rsidRPr="00037CFB" w:rsidRDefault="00E40D99" w:rsidP="00E40D99">
                  <w:pPr>
                    <w:jc w:val="center"/>
                    <w:rPr>
                      <w:color w:val="000000"/>
                    </w:rPr>
                  </w:pPr>
                  <w:r w:rsidRPr="00037CFB">
                    <w:rPr>
                      <w:color w:val="000000"/>
                    </w:rPr>
                    <w:t>% of total</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E40D99" w:rsidRPr="00037CFB" w:rsidRDefault="00E40D99" w:rsidP="00E40D99">
                  <w:pPr>
                    <w:jc w:val="center"/>
                    <w:rPr>
                      <w:color w:val="000000"/>
                    </w:rPr>
                  </w:pPr>
                  <w:r w:rsidRPr="00037CFB">
                    <w:rPr>
                      <w:color w:val="000000"/>
                    </w:rPr>
                    <w:t>Trips</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E40D99" w:rsidRPr="00037CFB" w:rsidRDefault="00E40D99" w:rsidP="00E40D99">
                  <w:pPr>
                    <w:jc w:val="center"/>
                    <w:rPr>
                      <w:color w:val="000000"/>
                    </w:rPr>
                  </w:pPr>
                  <w:r w:rsidRPr="00037CFB">
                    <w:rPr>
                      <w:color w:val="000000"/>
                    </w:rPr>
                    <w:t>% of MA</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E40D99" w:rsidRPr="00037CFB" w:rsidRDefault="00E40D99" w:rsidP="00E40D99">
                  <w:pPr>
                    <w:jc w:val="center"/>
                    <w:rPr>
                      <w:color w:val="000000"/>
                    </w:rPr>
                  </w:pPr>
                  <w:r w:rsidRPr="00037CFB">
                    <w:rPr>
                      <w:color w:val="000000"/>
                    </w:rPr>
                    <w:t>% of total</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E40D99" w:rsidRPr="00037CFB" w:rsidRDefault="00E40D99" w:rsidP="00E40D99">
                  <w:pPr>
                    <w:jc w:val="center"/>
                    <w:rPr>
                      <w:color w:val="000000"/>
                    </w:rPr>
                  </w:pPr>
                  <w:r w:rsidRPr="00037CFB">
                    <w:rPr>
                      <w:color w:val="000000"/>
                    </w:rPr>
                    <w:t>Revenue</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E40D99" w:rsidRPr="00037CFB" w:rsidRDefault="00E40D99" w:rsidP="00E40D99">
                  <w:pPr>
                    <w:jc w:val="center"/>
                    <w:rPr>
                      <w:color w:val="000000"/>
                    </w:rPr>
                  </w:pPr>
                  <w:r w:rsidRPr="00037CFB">
                    <w:rPr>
                      <w:color w:val="000000"/>
                    </w:rPr>
                    <w:t>% of MA</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E40D99" w:rsidRPr="00037CFB" w:rsidRDefault="00E40D99" w:rsidP="00E40D99">
                  <w:pPr>
                    <w:jc w:val="center"/>
                    <w:rPr>
                      <w:color w:val="000000"/>
                    </w:rPr>
                  </w:pPr>
                  <w:r w:rsidRPr="00037CFB">
                    <w:rPr>
                      <w:color w:val="000000"/>
                    </w:rPr>
                    <w:t>% of total</w:t>
                  </w:r>
                </w:p>
              </w:tc>
            </w:tr>
            <w:tr w:rsidR="00E40D99" w:rsidRPr="00037CFB" w:rsidTr="007432A5">
              <w:trPr>
                <w:trHeight w:val="301"/>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rsidR="00E40D99" w:rsidRPr="00037CFB" w:rsidRDefault="00E40D99" w:rsidP="007432A5">
                  <w:pPr>
                    <w:rPr>
                      <w:color w:val="000000"/>
                    </w:rPr>
                  </w:pPr>
                  <w:r w:rsidRPr="00037CFB">
                    <w:rPr>
                      <w:color w:val="000000"/>
                    </w:rPr>
                    <w:t>MA, PROS</w:t>
                  </w:r>
                </w:p>
              </w:tc>
              <w:tc>
                <w:tcPr>
                  <w:tcW w:w="1207"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34</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35%</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9%</w:t>
                  </w:r>
                </w:p>
              </w:tc>
              <w:tc>
                <w:tcPr>
                  <w:tcW w:w="1059"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6,723</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82%</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47%</w:t>
                  </w:r>
                </w:p>
              </w:tc>
              <w:tc>
                <w:tcPr>
                  <w:tcW w:w="1398"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$146,175</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75%</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41%</w:t>
                  </w:r>
                </w:p>
              </w:tc>
            </w:tr>
            <w:tr w:rsidR="00E40D99" w:rsidRPr="00037CFB" w:rsidTr="007432A5">
              <w:trPr>
                <w:trHeight w:val="301"/>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rsidR="00E40D99" w:rsidRPr="00037CFB" w:rsidRDefault="00E40D99" w:rsidP="007432A5">
                  <w:pPr>
                    <w:rPr>
                      <w:color w:val="000000"/>
                    </w:rPr>
                  </w:pPr>
                  <w:r w:rsidRPr="00037CFB">
                    <w:rPr>
                      <w:color w:val="000000"/>
                    </w:rPr>
                    <w:t>MA, non-PROS</w:t>
                  </w:r>
                </w:p>
              </w:tc>
              <w:tc>
                <w:tcPr>
                  <w:tcW w:w="1207"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64</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65%</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16%</w:t>
                  </w:r>
                </w:p>
              </w:tc>
              <w:tc>
                <w:tcPr>
                  <w:tcW w:w="1059"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1,469</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18%</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10%</w:t>
                  </w:r>
                </w:p>
              </w:tc>
              <w:tc>
                <w:tcPr>
                  <w:tcW w:w="1398"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$48,039</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25%</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13%</w:t>
                  </w:r>
                </w:p>
              </w:tc>
            </w:tr>
            <w:tr w:rsidR="00E40D99" w:rsidRPr="00037CFB" w:rsidTr="007432A5">
              <w:trPr>
                <w:trHeight w:val="301"/>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rsidR="00E40D99" w:rsidRPr="00037CFB" w:rsidRDefault="00E40D99" w:rsidP="007432A5">
                  <w:pPr>
                    <w:rPr>
                      <w:color w:val="000000"/>
                    </w:rPr>
                  </w:pPr>
                  <w:r w:rsidRPr="00037CFB">
                    <w:rPr>
                      <w:color w:val="000000"/>
                    </w:rPr>
                    <w:t xml:space="preserve">Non-MA </w:t>
                  </w:r>
                </w:p>
              </w:tc>
              <w:tc>
                <w:tcPr>
                  <w:tcW w:w="1207"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299</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0%</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75%</w:t>
                  </w:r>
                </w:p>
              </w:tc>
              <w:tc>
                <w:tcPr>
                  <w:tcW w:w="1059"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6,239</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0%</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43%</w:t>
                  </w:r>
                </w:p>
              </w:tc>
              <w:tc>
                <w:tcPr>
                  <w:tcW w:w="1398"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$165,782</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0%</w:t>
                  </w:r>
                </w:p>
              </w:tc>
              <w:tc>
                <w:tcPr>
                  <w:tcW w:w="864" w:type="dxa"/>
                  <w:tcBorders>
                    <w:top w:val="nil"/>
                    <w:left w:val="nil"/>
                    <w:bottom w:val="single" w:sz="4" w:space="0" w:color="auto"/>
                    <w:right w:val="single" w:sz="4" w:space="0" w:color="auto"/>
                  </w:tcBorders>
                  <w:shd w:val="clear" w:color="auto" w:fill="auto"/>
                  <w:noWrap/>
                  <w:vAlign w:val="center"/>
                  <w:hideMark/>
                </w:tcPr>
                <w:p w:rsidR="00E40D99" w:rsidRPr="00037CFB" w:rsidRDefault="00E40D99" w:rsidP="007432A5">
                  <w:pPr>
                    <w:jc w:val="center"/>
                    <w:rPr>
                      <w:color w:val="000000"/>
                    </w:rPr>
                  </w:pPr>
                  <w:r w:rsidRPr="00037CFB">
                    <w:rPr>
                      <w:color w:val="000000"/>
                    </w:rPr>
                    <w:t>46%</w:t>
                  </w:r>
                </w:p>
              </w:tc>
            </w:tr>
            <w:tr w:rsidR="00E40D99" w:rsidRPr="00037CFB" w:rsidTr="007432A5">
              <w:trPr>
                <w:trHeight w:val="301"/>
              </w:trPr>
              <w:tc>
                <w:tcPr>
                  <w:tcW w:w="1822" w:type="dxa"/>
                  <w:tcBorders>
                    <w:top w:val="nil"/>
                    <w:left w:val="nil"/>
                    <w:bottom w:val="nil"/>
                    <w:right w:val="nil"/>
                  </w:tcBorders>
                  <w:shd w:val="clear" w:color="auto" w:fill="auto"/>
                  <w:noWrap/>
                  <w:vAlign w:val="bottom"/>
                  <w:hideMark/>
                </w:tcPr>
                <w:p w:rsidR="00E40D99" w:rsidRPr="00037CFB" w:rsidRDefault="00E40D99" w:rsidP="00E40D99">
                  <w:pPr>
                    <w:rPr>
                      <w:b/>
                      <w:bCs/>
                      <w:color w:val="000000"/>
                    </w:rPr>
                  </w:pPr>
                  <w:r w:rsidRPr="00037CFB">
                    <w:rPr>
                      <w:b/>
                      <w:bCs/>
                      <w:color w:val="000000"/>
                    </w:rPr>
                    <w:t>TOTALS</w:t>
                  </w:r>
                </w:p>
              </w:tc>
              <w:tc>
                <w:tcPr>
                  <w:tcW w:w="1207" w:type="dxa"/>
                  <w:tcBorders>
                    <w:top w:val="nil"/>
                    <w:left w:val="nil"/>
                    <w:bottom w:val="nil"/>
                    <w:right w:val="nil"/>
                  </w:tcBorders>
                  <w:shd w:val="clear" w:color="auto" w:fill="auto"/>
                  <w:noWrap/>
                  <w:vAlign w:val="bottom"/>
                  <w:hideMark/>
                </w:tcPr>
                <w:p w:rsidR="00E40D99" w:rsidRPr="00037CFB" w:rsidRDefault="00E40D99" w:rsidP="00E40D99">
                  <w:pPr>
                    <w:jc w:val="center"/>
                    <w:rPr>
                      <w:b/>
                      <w:bCs/>
                      <w:color w:val="000000"/>
                    </w:rPr>
                  </w:pPr>
                  <w:r w:rsidRPr="00037CFB">
                    <w:rPr>
                      <w:b/>
                      <w:bCs/>
                      <w:color w:val="000000"/>
                    </w:rPr>
                    <w:t>397</w:t>
                  </w:r>
                </w:p>
              </w:tc>
              <w:tc>
                <w:tcPr>
                  <w:tcW w:w="864" w:type="dxa"/>
                  <w:tcBorders>
                    <w:top w:val="nil"/>
                    <w:left w:val="nil"/>
                    <w:bottom w:val="nil"/>
                    <w:right w:val="nil"/>
                  </w:tcBorders>
                  <w:shd w:val="clear" w:color="auto" w:fill="auto"/>
                  <w:noWrap/>
                  <w:vAlign w:val="bottom"/>
                  <w:hideMark/>
                </w:tcPr>
                <w:p w:rsidR="00E40D99" w:rsidRPr="00037CFB" w:rsidRDefault="00E40D99" w:rsidP="00E40D99">
                  <w:pPr>
                    <w:jc w:val="center"/>
                    <w:rPr>
                      <w:b/>
                      <w:bCs/>
                      <w:color w:val="000000"/>
                    </w:rPr>
                  </w:pPr>
                  <w:r w:rsidRPr="00037CFB">
                    <w:rPr>
                      <w:b/>
                      <w:bCs/>
                      <w:color w:val="000000"/>
                    </w:rPr>
                    <w:t>100%</w:t>
                  </w:r>
                </w:p>
              </w:tc>
              <w:tc>
                <w:tcPr>
                  <w:tcW w:w="864" w:type="dxa"/>
                  <w:tcBorders>
                    <w:top w:val="nil"/>
                    <w:left w:val="nil"/>
                    <w:bottom w:val="nil"/>
                    <w:right w:val="nil"/>
                  </w:tcBorders>
                  <w:shd w:val="clear" w:color="auto" w:fill="auto"/>
                  <w:noWrap/>
                  <w:vAlign w:val="bottom"/>
                  <w:hideMark/>
                </w:tcPr>
                <w:p w:rsidR="00E40D99" w:rsidRPr="00037CFB" w:rsidRDefault="00E40D99" w:rsidP="00E40D99">
                  <w:pPr>
                    <w:jc w:val="center"/>
                    <w:rPr>
                      <w:b/>
                      <w:bCs/>
                      <w:color w:val="000000"/>
                    </w:rPr>
                  </w:pPr>
                  <w:r w:rsidRPr="00037CFB">
                    <w:rPr>
                      <w:b/>
                      <w:bCs/>
                      <w:color w:val="000000"/>
                    </w:rPr>
                    <w:t>100%</w:t>
                  </w:r>
                </w:p>
              </w:tc>
              <w:tc>
                <w:tcPr>
                  <w:tcW w:w="1059" w:type="dxa"/>
                  <w:tcBorders>
                    <w:top w:val="nil"/>
                    <w:left w:val="nil"/>
                    <w:bottom w:val="nil"/>
                    <w:right w:val="nil"/>
                  </w:tcBorders>
                  <w:shd w:val="clear" w:color="auto" w:fill="auto"/>
                  <w:noWrap/>
                  <w:vAlign w:val="bottom"/>
                  <w:hideMark/>
                </w:tcPr>
                <w:p w:rsidR="00E40D99" w:rsidRPr="00037CFB" w:rsidRDefault="00E40D99" w:rsidP="00E40D99">
                  <w:pPr>
                    <w:jc w:val="center"/>
                    <w:rPr>
                      <w:b/>
                      <w:bCs/>
                      <w:color w:val="000000"/>
                    </w:rPr>
                  </w:pPr>
                  <w:r w:rsidRPr="00037CFB">
                    <w:rPr>
                      <w:b/>
                      <w:bCs/>
                      <w:color w:val="000000"/>
                    </w:rPr>
                    <w:t xml:space="preserve">      14,431 </w:t>
                  </w:r>
                </w:p>
              </w:tc>
              <w:tc>
                <w:tcPr>
                  <w:tcW w:w="864" w:type="dxa"/>
                  <w:tcBorders>
                    <w:top w:val="nil"/>
                    <w:left w:val="nil"/>
                    <w:bottom w:val="nil"/>
                    <w:right w:val="nil"/>
                  </w:tcBorders>
                  <w:shd w:val="clear" w:color="auto" w:fill="auto"/>
                  <w:noWrap/>
                  <w:vAlign w:val="bottom"/>
                  <w:hideMark/>
                </w:tcPr>
                <w:p w:rsidR="00E40D99" w:rsidRPr="00037CFB" w:rsidRDefault="00E40D99" w:rsidP="00E40D99">
                  <w:pPr>
                    <w:jc w:val="center"/>
                    <w:rPr>
                      <w:b/>
                      <w:bCs/>
                      <w:color w:val="000000"/>
                    </w:rPr>
                  </w:pPr>
                  <w:r w:rsidRPr="00037CFB">
                    <w:rPr>
                      <w:b/>
                      <w:bCs/>
                      <w:color w:val="000000"/>
                    </w:rPr>
                    <w:t>100%</w:t>
                  </w:r>
                </w:p>
              </w:tc>
              <w:tc>
                <w:tcPr>
                  <w:tcW w:w="864" w:type="dxa"/>
                  <w:tcBorders>
                    <w:top w:val="nil"/>
                    <w:left w:val="nil"/>
                    <w:bottom w:val="nil"/>
                    <w:right w:val="nil"/>
                  </w:tcBorders>
                  <w:shd w:val="clear" w:color="auto" w:fill="auto"/>
                  <w:noWrap/>
                  <w:vAlign w:val="bottom"/>
                  <w:hideMark/>
                </w:tcPr>
                <w:p w:rsidR="00E40D99" w:rsidRPr="00037CFB" w:rsidRDefault="00E40D99" w:rsidP="00E40D99">
                  <w:pPr>
                    <w:jc w:val="center"/>
                    <w:rPr>
                      <w:b/>
                      <w:bCs/>
                      <w:color w:val="000000"/>
                    </w:rPr>
                  </w:pPr>
                  <w:r w:rsidRPr="00037CFB">
                    <w:rPr>
                      <w:b/>
                      <w:bCs/>
                      <w:color w:val="000000"/>
                    </w:rPr>
                    <w:t>100%</w:t>
                  </w:r>
                </w:p>
              </w:tc>
              <w:tc>
                <w:tcPr>
                  <w:tcW w:w="1398" w:type="dxa"/>
                  <w:tcBorders>
                    <w:top w:val="nil"/>
                    <w:left w:val="nil"/>
                    <w:bottom w:val="nil"/>
                    <w:right w:val="nil"/>
                  </w:tcBorders>
                  <w:shd w:val="clear" w:color="auto" w:fill="auto"/>
                  <w:noWrap/>
                  <w:vAlign w:val="bottom"/>
                  <w:hideMark/>
                </w:tcPr>
                <w:p w:rsidR="00E40D99" w:rsidRPr="00037CFB" w:rsidRDefault="00E40D99" w:rsidP="00E40D99">
                  <w:pPr>
                    <w:jc w:val="center"/>
                    <w:rPr>
                      <w:b/>
                      <w:bCs/>
                      <w:color w:val="000000"/>
                    </w:rPr>
                  </w:pPr>
                  <w:r w:rsidRPr="00037CFB">
                    <w:rPr>
                      <w:b/>
                      <w:bCs/>
                      <w:color w:val="000000"/>
                    </w:rPr>
                    <w:t>$359,996</w:t>
                  </w:r>
                </w:p>
              </w:tc>
              <w:tc>
                <w:tcPr>
                  <w:tcW w:w="864" w:type="dxa"/>
                  <w:tcBorders>
                    <w:top w:val="nil"/>
                    <w:left w:val="nil"/>
                    <w:bottom w:val="nil"/>
                    <w:right w:val="nil"/>
                  </w:tcBorders>
                  <w:shd w:val="clear" w:color="auto" w:fill="auto"/>
                  <w:noWrap/>
                  <w:vAlign w:val="bottom"/>
                  <w:hideMark/>
                </w:tcPr>
                <w:p w:rsidR="00E40D99" w:rsidRPr="00037CFB" w:rsidRDefault="00E40D99" w:rsidP="00E40D99">
                  <w:pPr>
                    <w:jc w:val="center"/>
                    <w:rPr>
                      <w:b/>
                      <w:bCs/>
                      <w:color w:val="000000"/>
                    </w:rPr>
                  </w:pPr>
                  <w:r w:rsidRPr="00037CFB">
                    <w:rPr>
                      <w:b/>
                      <w:bCs/>
                      <w:color w:val="000000"/>
                    </w:rPr>
                    <w:t>100%</w:t>
                  </w:r>
                </w:p>
              </w:tc>
              <w:tc>
                <w:tcPr>
                  <w:tcW w:w="864" w:type="dxa"/>
                  <w:tcBorders>
                    <w:top w:val="nil"/>
                    <w:left w:val="nil"/>
                    <w:bottom w:val="nil"/>
                    <w:right w:val="nil"/>
                  </w:tcBorders>
                  <w:shd w:val="clear" w:color="auto" w:fill="auto"/>
                  <w:noWrap/>
                  <w:vAlign w:val="bottom"/>
                  <w:hideMark/>
                </w:tcPr>
                <w:p w:rsidR="00E40D99" w:rsidRPr="00037CFB" w:rsidRDefault="00E40D99" w:rsidP="00E40D99">
                  <w:pPr>
                    <w:jc w:val="center"/>
                    <w:rPr>
                      <w:b/>
                      <w:bCs/>
                      <w:color w:val="000000"/>
                    </w:rPr>
                  </w:pPr>
                  <w:r w:rsidRPr="00037CFB">
                    <w:rPr>
                      <w:b/>
                      <w:bCs/>
                      <w:color w:val="000000"/>
                    </w:rPr>
                    <w:t>100%</w:t>
                  </w:r>
                </w:p>
              </w:tc>
            </w:tr>
          </w:tbl>
          <w:p w:rsidR="00E40D99" w:rsidRDefault="00E40D99" w:rsidP="00E40D99">
            <w:pPr>
              <w:spacing w:before="100" w:beforeAutospacing="1" w:after="100" w:afterAutospacing="1"/>
              <w:jc w:val="both"/>
              <w:rPr>
                <w:color w:val="000000"/>
              </w:rPr>
            </w:pPr>
            <w:r w:rsidRPr="00037CFB">
              <w:rPr>
                <w:color w:val="000000"/>
              </w:rPr>
              <w:t xml:space="preserve">These group rides constituted a large part of the Consortium’s Medicaid service delivery—82% of all our Medicaid trips, 75% of Medicaid revenue, and approximately 40% of total program revenue (see table below).  The loss of this business </w:t>
            </w:r>
            <w:r>
              <w:rPr>
                <w:color w:val="000000"/>
              </w:rPr>
              <w:t>may</w:t>
            </w:r>
            <w:r w:rsidRPr="00037CFB">
              <w:rPr>
                <w:color w:val="000000"/>
              </w:rPr>
              <w:t xml:space="preserve"> have significant impacts on our ability to meet the transportation needs of Columbia County residents, including both Medicaid enrollees and non-enrollees.  </w:t>
            </w:r>
          </w:p>
          <w:p w:rsidR="00E40D99" w:rsidRDefault="00E40D99" w:rsidP="00E40D99">
            <w:pPr>
              <w:spacing w:before="100" w:beforeAutospacing="1" w:after="100" w:afterAutospacing="1"/>
              <w:jc w:val="both"/>
              <w:rPr>
                <w:color w:val="000000"/>
              </w:rPr>
            </w:pPr>
          </w:p>
          <w:p w:rsidR="00E40D99" w:rsidRDefault="00E40D99" w:rsidP="00E40D99">
            <w:pPr>
              <w:spacing w:before="100" w:beforeAutospacing="1" w:after="100" w:afterAutospacing="1"/>
              <w:jc w:val="both"/>
              <w:rPr>
                <w:color w:val="000000"/>
              </w:rPr>
            </w:pPr>
          </w:p>
          <w:p w:rsidR="00E40D99" w:rsidRDefault="00E40D99" w:rsidP="00E40D99">
            <w:pPr>
              <w:spacing w:before="100" w:beforeAutospacing="1" w:after="100" w:afterAutospacing="1"/>
              <w:jc w:val="both"/>
              <w:rPr>
                <w:color w:val="000000"/>
              </w:rPr>
            </w:pPr>
          </w:p>
          <w:p w:rsidR="00E40D99" w:rsidRDefault="00E40D99" w:rsidP="00E40D99">
            <w:pPr>
              <w:spacing w:before="100" w:beforeAutospacing="1" w:after="100" w:afterAutospacing="1"/>
              <w:jc w:val="both"/>
              <w:rPr>
                <w:color w:val="000000"/>
              </w:rPr>
            </w:pPr>
          </w:p>
          <w:p w:rsidR="007432A5" w:rsidRDefault="007432A5" w:rsidP="00E40D99">
            <w:pPr>
              <w:spacing w:before="100" w:beforeAutospacing="1" w:after="100" w:afterAutospacing="1"/>
              <w:jc w:val="both"/>
              <w:rPr>
                <w:color w:val="000000"/>
              </w:rPr>
            </w:pPr>
          </w:p>
          <w:p w:rsidR="00E40D99" w:rsidRPr="00037CFB" w:rsidRDefault="00E40D99" w:rsidP="00E40D99">
            <w:pPr>
              <w:spacing w:before="100" w:beforeAutospacing="1" w:after="100" w:afterAutospacing="1"/>
              <w:jc w:val="both"/>
              <w:rPr>
                <w:color w:val="000000" w:themeColor="text1"/>
              </w:rPr>
            </w:pPr>
            <w:r w:rsidRPr="00037CFB">
              <w:rPr>
                <w:color w:val="000000"/>
              </w:rPr>
              <w:t>Adirondack Cab Co. “won” these group rides through a bid process initiated by the New York State Department of Health (NYSDOH), which oversees Medicaid Transportation, and managed by Medical Answering Services, or MAS, the state’s contracted Medicaid Transportation Manager. The bid process trumps the Medicaid provision called</w:t>
            </w:r>
            <w:r w:rsidRPr="00037CFB">
              <w:rPr>
                <w:color w:val="000000" w:themeColor="text1"/>
              </w:rPr>
              <w:t xml:space="preserve"> “freedom of choice” which permits enrollees to select their preferred transportation provider.  </w:t>
            </w:r>
          </w:p>
          <w:p w:rsidR="00E40D99" w:rsidRPr="006C5404" w:rsidRDefault="00E40D99" w:rsidP="00E40D99">
            <w:pPr>
              <w:spacing w:before="240"/>
            </w:pPr>
            <w:r w:rsidRPr="006C5404">
              <w:t>Since this has transpired, we have done a few things:</w:t>
            </w:r>
          </w:p>
          <w:p w:rsidR="00E40D99" w:rsidRPr="006C5404" w:rsidRDefault="00E40D99" w:rsidP="00E40D99">
            <w:pPr>
              <w:pStyle w:val="ListParagraph"/>
              <w:numPr>
                <w:ilvl w:val="0"/>
                <w:numId w:val="18"/>
              </w:numPr>
              <w:spacing w:before="120" w:after="120" w:line="240" w:lineRule="auto"/>
              <w:contextualSpacing w:val="0"/>
              <w:rPr>
                <w:rFonts w:ascii="Times New Roman" w:hAnsi="Times New Roman"/>
                <w:sz w:val="24"/>
                <w:szCs w:val="24"/>
              </w:rPr>
            </w:pPr>
            <w:r w:rsidRPr="006C5404">
              <w:rPr>
                <w:rFonts w:ascii="Times New Roman" w:hAnsi="Times New Roman"/>
                <w:sz w:val="24"/>
                <w:szCs w:val="24"/>
              </w:rPr>
              <w:t xml:space="preserve">Visited directly with our elected officials in Albany (Lopez, McLaughlin, Barrett, Marchione and Amedore) to advise them of the situation and request their assistance in advocating for policy changes at NYSDOH.  Subsequent to those visits, </w:t>
            </w:r>
            <w:r w:rsidR="006C5404">
              <w:rPr>
                <w:rFonts w:ascii="Times New Roman" w:hAnsi="Times New Roman"/>
                <w:sz w:val="24"/>
                <w:szCs w:val="24"/>
              </w:rPr>
              <w:t>Claire</w:t>
            </w:r>
            <w:r w:rsidRPr="006C5404">
              <w:rPr>
                <w:rFonts w:ascii="Times New Roman" w:hAnsi="Times New Roman"/>
                <w:sz w:val="24"/>
                <w:szCs w:val="24"/>
              </w:rPr>
              <w:t xml:space="preserve"> provided a one-page overview and</w:t>
            </w:r>
            <w:r w:rsidR="006C5404">
              <w:rPr>
                <w:rFonts w:ascii="Times New Roman" w:hAnsi="Times New Roman"/>
                <w:sz w:val="24"/>
                <w:szCs w:val="24"/>
              </w:rPr>
              <w:t xml:space="preserve"> sample letter to their offices.</w:t>
            </w:r>
          </w:p>
          <w:p w:rsidR="00E40D99" w:rsidRPr="006C5404" w:rsidRDefault="00E40D99" w:rsidP="00E40D99">
            <w:pPr>
              <w:pStyle w:val="ListParagraph"/>
              <w:numPr>
                <w:ilvl w:val="0"/>
                <w:numId w:val="18"/>
              </w:numPr>
              <w:spacing w:before="120" w:after="120" w:line="240" w:lineRule="auto"/>
              <w:contextualSpacing w:val="0"/>
              <w:rPr>
                <w:rFonts w:ascii="Times New Roman" w:hAnsi="Times New Roman"/>
                <w:sz w:val="24"/>
                <w:szCs w:val="24"/>
              </w:rPr>
            </w:pPr>
            <w:r w:rsidRPr="006C5404">
              <w:rPr>
                <w:rFonts w:ascii="Times New Roman" w:hAnsi="Times New Roman"/>
                <w:sz w:val="24"/>
                <w:szCs w:val="24"/>
              </w:rPr>
              <w:lastRenderedPageBreak/>
              <w:t xml:space="preserve">Estimated the potential financial impact to the program.  At this time, we project a change in unrestricted net assets of ($33K) and a net cash flow loss of $29K, though we will undoubtedly find that we must update these numbers to reflect actual revenues and expenses in the weeks since the loss of standing orders.  </w:t>
            </w:r>
          </w:p>
          <w:p w:rsidR="00E40D99" w:rsidRPr="006C5404" w:rsidRDefault="00E40D99" w:rsidP="00E40D99">
            <w:pPr>
              <w:pStyle w:val="ListParagraph"/>
              <w:numPr>
                <w:ilvl w:val="0"/>
                <w:numId w:val="18"/>
              </w:numPr>
              <w:spacing w:before="120" w:after="120" w:line="240" w:lineRule="auto"/>
              <w:contextualSpacing w:val="0"/>
              <w:rPr>
                <w:rFonts w:ascii="Times New Roman" w:hAnsi="Times New Roman"/>
                <w:sz w:val="24"/>
                <w:szCs w:val="24"/>
              </w:rPr>
            </w:pPr>
            <w:r w:rsidRPr="006C5404">
              <w:rPr>
                <w:rFonts w:ascii="Times New Roman" w:hAnsi="Times New Roman"/>
                <w:sz w:val="24"/>
                <w:szCs w:val="24"/>
              </w:rPr>
              <w:t>Started to explore our options, including different service models, fees, etc., in the interest of ensuring that the program not only survives the current challenge but is viable in the long term.</w:t>
            </w:r>
          </w:p>
          <w:p w:rsidR="007432A5" w:rsidRPr="006C5404" w:rsidRDefault="006C5404" w:rsidP="00E40D99">
            <w:pPr>
              <w:spacing w:before="240"/>
            </w:pPr>
            <w:r w:rsidRPr="006C5404">
              <w:t xml:space="preserve">Some committee members expressed concern about employing </w:t>
            </w:r>
            <w:r w:rsidR="007432A5">
              <w:t xml:space="preserve">any model </w:t>
            </w:r>
            <w:r w:rsidR="007130EC">
              <w:t>that make</w:t>
            </w:r>
            <w:r w:rsidR="007432A5">
              <w:t>s</w:t>
            </w:r>
            <w:r w:rsidR="007130EC">
              <w:t xml:space="preserve"> use of volunteers, </w:t>
            </w:r>
            <w:r w:rsidR="007432A5">
              <w:t>for various reasons including the fear that the agency might run afoul of Department of Labor rules</w:t>
            </w:r>
            <w:r w:rsidR="005509C2">
              <w:t xml:space="preserve">, </w:t>
            </w:r>
            <w:r w:rsidR="007432A5">
              <w:t>a philosophical opposition to making use of volunteers instead of paid staff</w:t>
            </w:r>
            <w:r w:rsidR="005509C2">
              <w:t>, and liability</w:t>
            </w:r>
            <w:r w:rsidR="007432A5">
              <w:t xml:space="preserve">.  Claire asked the members for their patience as she and her team explores and fully educates themselves about the options. </w:t>
            </w:r>
          </w:p>
          <w:p w:rsidR="00E40D99" w:rsidRDefault="006C5404" w:rsidP="006C5404">
            <w:pPr>
              <w:spacing w:before="120" w:after="120"/>
            </w:pPr>
            <w:r>
              <w:t xml:space="preserve">Robin noted that the Consortium’s </w:t>
            </w:r>
            <w:r w:rsidRPr="006C5404">
              <w:t xml:space="preserve">strong cash position and healthy fund balance </w:t>
            </w:r>
            <w:r>
              <w:t>will help the agency to</w:t>
            </w:r>
            <w:r w:rsidRPr="006C5404">
              <w:t xml:space="preserve"> absorb </w:t>
            </w:r>
            <w:r>
              <w:t xml:space="preserve">the loss of </w:t>
            </w:r>
            <w:r w:rsidR="007432A5">
              <w:t xml:space="preserve">this </w:t>
            </w:r>
            <w:r>
              <w:t xml:space="preserve">business and </w:t>
            </w:r>
            <w:r w:rsidR="007432A5">
              <w:t xml:space="preserve">associated </w:t>
            </w:r>
            <w:r>
              <w:t>revenue.</w:t>
            </w:r>
            <w:r w:rsidRPr="006C5404">
              <w:t xml:space="preserve">  </w:t>
            </w:r>
            <w:r>
              <w:t xml:space="preserve">This permits </w:t>
            </w:r>
            <w:r w:rsidR="007130EC">
              <w:t xml:space="preserve">the organization to explore its options in a measured and thoughtful way. </w:t>
            </w:r>
          </w:p>
        </w:tc>
      </w:tr>
      <w:tr w:rsidR="00E40D99" w:rsidRPr="001E0050" w:rsidTr="006C5404">
        <w:trPr>
          <w:trHeight w:val="1295"/>
        </w:trPr>
        <w:tc>
          <w:tcPr>
            <w:tcW w:w="2098" w:type="dxa"/>
            <w:tcBorders>
              <w:top w:val="single" w:sz="4" w:space="0" w:color="auto"/>
              <w:left w:val="single" w:sz="8" w:space="0" w:color="auto"/>
              <w:bottom w:val="single" w:sz="4" w:space="0" w:color="auto"/>
              <w:right w:val="single" w:sz="4" w:space="0" w:color="auto"/>
            </w:tcBorders>
            <w:vAlign w:val="center"/>
          </w:tcPr>
          <w:p w:rsidR="00E40D99" w:rsidRPr="001E0050" w:rsidRDefault="00E40D99" w:rsidP="00E40D99">
            <w:pPr>
              <w:spacing w:before="120" w:after="120"/>
            </w:pPr>
            <w:r w:rsidRPr="001E0050">
              <w:lastRenderedPageBreak/>
              <w:t>Highlights from the Financial Reports</w:t>
            </w:r>
          </w:p>
          <w:p w:rsidR="00E40D99" w:rsidRDefault="00E40D99" w:rsidP="00E40D99"/>
        </w:tc>
        <w:tc>
          <w:tcPr>
            <w:tcW w:w="12482" w:type="dxa"/>
            <w:gridSpan w:val="2"/>
            <w:tcBorders>
              <w:top w:val="single" w:sz="4" w:space="0" w:color="auto"/>
              <w:left w:val="single" w:sz="4" w:space="0" w:color="auto"/>
              <w:bottom w:val="single" w:sz="4" w:space="0" w:color="auto"/>
            </w:tcBorders>
            <w:vAlign w:val="center"/>
          </w:tcPr>
          <w:p w:rsidR="00E40D99" w:rsidRDefault="00E40D99" w:rsidP="006C5404">
            <w:pPr>
              <w:spacing w:before="120" w:after="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6C5404">
              <w:t>February 28</w:t>
            </w:r>
            <w:r>
              <w:t>, 201</w:t>
            </w:r>
            <w:r w:rsidR="006C5404">
              <w:t>7</w:t>
            </w:r>
            <w:r>
              <w:t xml:space="preserve">. </w:t>
            </w:r>
            <w:r w:rsidR="006C5404">
              <w:t xml:space="preserve">Due to time constraints, John was unable to produce the </w:t>
            </w:r>
            <w:r>
              <w:t xml:space="preserve">“Fiscal Highlights” </w:t>
            </w:r>
            <w:r w:rsidR="006C5404">
              <w:t>report this month.</w:t>
            </w:r>
          </w:p>
        </w:tc>
      </w:tr>
      <w:tr w:rsidR="00E40D99" w:rsidRPr="001E0050" w:rsidTr="007432A5">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E40D99" w:rsidRDefault="006C5404" w:rsidP="007432A5">
            <w:r>
              <w:t>Update on the Audit</w:t>
            </w:r>
          </w:p>
        </w:tc>
        <w:tc>
          <w:tcPr>
            <w:tcW w:w="12482" w:type="dxa"/>
            <w:gridSpan w:val="2"/>
            <w:tcBorders>
              <w:top w:val="single" w:sz="4" w:space="0" w:color="auto"/>
              <w:left w:val="single" w:sz="4" w:space="0" w:color="auto"/>
              <w:bottom w:val="single" w:sz="4" w:space="0" w:color="auto"/>
            </w:tcBorders>
            <w:vAlign w:val="center"/>
          </w:tcPr>
          <w:p w:rsidR="006C5404" w:rsidRDefault="006C5404" w:rsidP="007432A5">
            <w:pPr>
              <w:spacing w:before="120" w:after="120"/>
            </w:pPr>
            <w:r>
              <w:t xml:space="preserve">Claire reported that Carol Hausamann of Marvin and Company has provided a draft of the audited financial statements.  Pending receipt of a few items from third parties, the As there were no findings as to internal controls, she will not issue a management letter. </w:t>
            </w:r>
          </w:p>
        </w:tc>
      </w:tr>
      <w:tr w:rsidR="00E40D99"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E40D99" w:rsidRPr="001E0050" w:rsidRDefault="00E40D99" w:rsidP="00E40D99">
            <w:r>
              <w:t>Next mtng</w:t>
            </w:r>
          </w:p>
        </w:tc>
        <w:tc>
          <w:tcPr>
            <w:tcW w:w="12482" w:type="dxa"/>
            <w:gridSpan w:val="2"/>
            <w:tcBorders>
              <w:top w:val="single" w:sz="4" w:space="0" w:color="auto"/>
              <w:left w:val="single" w:sz="4" w:space="0" w:color="auto"/>
              <w:bottom w:val="single" w:sz="4" w:space="0" w:color="auto"/>
            </w:tcBorders>
            <w:vAlign w:val="center"/>
          </w:tcPr>
          <w:p w:rsidR="00E40D99" w:rsidRPr="001E0050" w:rsidRDefault="00E40D99" w:rsidP="002061BD">
            <w:pPr>
              <w:spacing w:before="120"/>
            </w:pPr>
            <w:r w:rsidRPr="005D783D">
              <w:t xml:space="preserve">The next meeting is </w:t>
            </w:r>
            <w:r w:rsidR="002061BD">
              <w:t>May 23, 2017 at 3:00 p.m.</w:t>
            </w:r>
            <w:bookmarkStart w:id="0" w:name="_GoBack"/>
            <w:bookmarkEnd w:id="0"/>
          </w:p>
        </w:tc>
      </w:tr>
    </w:tbl>
    <w:p w:rsidR="00385B16" w:rsidRPr="00990131" w:rsidRDefault="00385B16" w:rsidP="006C5404"/>
    <w:sectPr w:rsidR="00385B16" w:rsidRPr="00990131" w:rsidSect="006C5404">
      <w:pgSz w:w="15840" w:h="12240" w:orient="landscape"/>
      <w:pgMar w:top="720" w:right="576"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E81" w:rsidRDefault="00F10E81" w:rsidP="00A96EC7">
      <w:r>
        <w:separator/>
      </w:r>
    </w:p>
  </w:endnote>
  <w:endnote w:type="continuationSeparator" w:id="0">
    <w:p w:rsidR="00F10E81" w:rsidRDefault="00F10E81"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E81" w:rsidRDefault="00F10E81" w:rsidP="00A96EC7">
      <w:r>
        <w:separator/>
      </w:r>
    </w:p>
  </w:footnote>
  <w:footnote w:type="continuationSeparator" w:id="0">
    <w:p w:rsidR="00F10E81" w:rsidRDefault="00F10E81"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9"/>
  </w:num>
  <w:num w:numId="6">
    <w:abstractNumId w:val="11"/>
  </w:num>
  <w:num w:numId="7">
    <w:abstractNumId w:val="7"/>
  </w:num>
  <w:num w:numId="8">
    <w:abstractNumId w:val="6"/>
  </w:num>
  <w:num w:numId="9">
    <w:abstractNumId w:val="17"/>
  </w:num>
  <w:num w:numId="10">
    <w:abstractNumId w:val="13"/>
  </w:num>
  <w:num w:numId="11">
    <w:abstractNumId w:val="12"/>
  </w:num>
  <w:num w:numId="12">
    <w:abstractNumId w:val="16"/>
  </w:num>
  <w:num w:numId="13">
    <w:abstractNumId w:val="15"/>
  </w:num>
  <w:num w:numId="14">
    <w:abstractNumId w:val="14"/>
  </w:num>
  <w:num w:numId="15">
    <w:abstractNumId w:val="3"/>
  </w:num>
  <w:num w:numId="16">
    <w:abstractNumId w:val="1"/>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6EB6"/>
    <w:rsid w:val="00037A04"/>
    <w:rsid w:val="00062538"/>
    <w:rsid w:val="00064B5F"/>
    <w:rsid w:val="00071F28"/>
    <w:rsid w:val="0009460C"/>
    <w:rsid w:val="00097F59"/>
    <w:rsid w:val="000A2D35"/>
    <w:rsid w:val="000B6DD7"/>
    <w:rsid w:val="000F0E3D"/>
    <w:rsid w:val="001274CB"/>
    <w:rsid w:val="00132B0A"/>
    <w:rsid w:val="001369A6"/>
    <w:rsid w:val="001515B8"/>
    <w:rsid w:val="001911CB"/>
    <w:rsid w:val="001E0050"/>
    <w:rsid w:val="001F64E2"/>
    <w:rsid w:val="002061BD"/>
    <w:rsid w:val="00207444"/>
    <w:rsid w:val="00212943"/>
    <w:rsid w:val="002413F8"/>
    <w:rsid w:val="00247C27"/>
    <w:rsid w:val="00252DCF"/>
    <w:rsid w:val="002901B2"/>
    <w:rsid w:val="002A5029"/>
    <w:rsid w:val="002A5131"/>
    <w:rsid w:val="002B263C"/>
    <w:rsid w:val="002B6DEC"/>
    <w:rsid w:val="002C083B"/>
    <w:rsid w:val="002C0B80"/>
    <w:rsid w:val="002C4573"/>
    <w:rsid w:val="002E2F64"/>
    <w:rsid w:val="0030688B"/>
    <w:rsid w:val="00342789"/>
    <w:rsid w:val="00352709"/>
    <w:rsid w:val="003624D1"/>
    <w:rsid w:val="00385B16"/>
    <w:rsid w:val="003918B4"/>
    <w:rsid w:val="003F79C4"/>
    <w:rsid w:val="00412DDD"/>
    <w:rsid w:val="00421F8B"/>
    <w:rsid w:val="00475C88"/>
    <w:rsid w:val="004760AF"/>
    <w:rsid w:val="004A10B9"/>
    <w:rsid w:val="004C488F"/>
    <w:rsid w:val="004E0E27"/>
    <w:rsid w:val="004E41EF"/>
    <w:rsid w:val="004F7032"/>
    <w:rsid w:val="0050320B"/>
    <w:rsid w:val="00515E81"/>
    <w:rsid w:val="005509C2"/>
    <w:rsid w:val="0055133D"/>
    <w:rsid w:val="00564F43"/>
    <w:rsid w:val="00575593"/>
    <w:rsid w:val="005A25ED"/>
    <w:rsid w:val="005B073F"/>
    <w:rsid w:val="005B4AC3"/>
    <w:rsid w:val="005C3C63"/>
    <w:rsid w:val="005C6D89"/>
    <w:rsid w:val="005D783D"/>
    <w:rsid w:val="005E7D1E"/>
    <w:rsid w:val="005F21DD"/>
    <w:rsid w:val="00601B1D"/>
    <w:rsid w:val="0061327C"/>
    <w:rsid w:val="0062335B"/>
    <w:rsid w:val="006472C0"/>
    <w:rsid w:val="00690525"/>
    <w:rsid w:val="006C5404"/>
    <w:rsid w:val="006C7D2A"/>
    <w:rsid w:val="006D2900"/>
    <w:rsid w:val="006D2E29"/>
    <w:rsid w:val="006D5967"/>
    <w:rsid w:val="0070203E"/>
    <w:rsid w:val="007130EC"/>
    <w:rsid w:val="00742E9B"/>
    <w:rsid w:val="007432A5"/>
    <w:rsid w:val="00746F3D"/>
    <w:rsid w:val="00752B9A"/>
    <w:rsid w:val="00796B31"/>
    <w:rsid w:val="007D77E8"/>
    <w:rsid w:val="007E15C2"/>
    <w:rsid w:val="007E43C8"/>
    <w:rsid w:val="00810247"/>
    <w:rsid w:val="00843353"/>
    <w:rsid w:val="00855300"/>
    <w:rsid w:val="008630E4"/>
    <w:rsid w:val="0088470F"/>
    <w:rsid w:val="008A2296"/>
    <w:rsid w:val="008F4187"/>
    <w:rsid w:val="009115A7"/>
    <w:rsid w:val="0091350F"/>
    <w:rsid w:val="0091567E"/>
    <w:rsid w:val="00921C0E"/>
    <w:rsid w:val="00941F5A"/>
    <w:rsid w:val="00943D31"/>
    <w:rsid w:val="00971B37"/>
    <w:rsid w:val="00990131"/>
    <w:rsid w:val="00990FBF"/>
    <w:rsid w:val="009C541E"/>
    <w:rsid w:val="009D18D2"/>
    <w:rsid w:val="00A02AD5"/>
    <w:rsid w:val="00A03133"/>
    <w:rsid w:val="00A176E2"/>
    <w:rsid w:val="00A17DE4"/>
    <w:rsid w:val="00A42B94"/>
    <w:rsid w:val="00A7348F"/>
    <w:rsid w:val="00A806B4"/>
    <w:rsid w:val="00A82A4A"/>
    <w:rsid w:val="00A96EC7"/>
    <w:rsid w:val="00AA4696"/>
    <w:rsid w:val="00AF0735"/>
    <w:rsid w:val="00B241BE"/>
    <w:rsid w:val="00B44232"/>
    <w:rsid w:val="00B50F4B"/>
    <w:rsid w:val="00B568C6"/>
    <w:rsid w:val="00B57C39"/>
    <w:rsid w:val="00B60BAB"/>
    <w:rsid w:val="00BE2FC7"/>
    <w:rsid w:val="00BE50D6"/>
    <w:rsid w:val="00BE76E2"/>
    <w:rsid w:val="00C14518"/>
    <w:rsid w:val="00C27C64"/>
    <w:rsid w:val="00C31650"/>
    <w:rsid w:val="00C50DA8"/>
    <w:rsid w:val="00C827EF"/>
    <w:rsid w:val="00C95C54"/>
    <w:rsid w:val="00CA7BEE"/>
    <w:rsid w:val="00CC293F"/>
    <w:rsid w:val="00CE1DBC"/>
    <w:rsid w:val="00CE644A"/>
    <w:rsid w:val="00D12FA2"/>
    <w:rsid w:val="00D14318"/>
    <w:rsid w:val="00D2044F"/>
    <w:rsid w:val="00D46062"/>
    <w:rsid w:val="00D70608"/>
    <w:rsid w:val="00D81AA6"/>
    <w:rsid w:val="00D94F56"/>
    <w:rsid w:val="00DA2F4A"/>
    <w:rsid w:val="00DA6950"/>
    <w:rsid w:val="00DB62FF"/>
    <w:rsid w:val="00E40D99"/>
    <w:rsid w:val="00E81E94"/>
    <w:rsid w:val="00E91034"/>
    <w:rsid w:val="00EB0D94"/>
    <w:rsid w:val="00EB6FD4"/>
    <w:rsid w:val="00EC3403"/>
    <w:rsid w:val="00EC75A2"/>
    <w:rsid w:val="00ED4A58"/>
    <w:rsid w:val="00F007AD"/>
    <w:rsid w:val="00F01099"/>
    <w:rsid w:val="00F10E81"/>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79868-82FD-4379-87DF-58F1F9A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00AE7-9C61-4FB0-8A34-2CDACF74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aboyle</dc:creator>
  <cp:lastModifiedBy>Claire Parde</cp:lastModifiedBy>
  <cp:revision>3</cp:revision>
  <dcterms:created xsi:type="dcterms:W3CDTF">2017-03-27T18:30:00Z</dcterms:created>
  <dcterms:modified xsi:type="dcterms:W3CDTF">2017-03-27T19:57:00Z</dcterms:modified>
</cp:coreProperties>
</file>