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184"/>
        <w:gridCol w:w="4603"/>
      </w:tblGrid>
      <w:tr w:rsidR="006D2E29" w:rsidRPr="001E0050" w:rsidTr="00151D8B">
        <w:tc>
          <w:tcPr>
            <w:tcW w:w="9977"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4603" w:type="dxa"/>
          </w:tcPr>
          <w:p w:rsidR="0055133D" w:rsidRPr="001E0050" w:rsidRDefault="006D2E29" w:rsidP="009C4F61">
            <w:pPr>
              <w:rPr>
                <w:b/>
              </w:rPr>
            </w:pPr>
            <w:r w:rsidRPr="001E0050">
              <w:rPr>
                <w:b/>
              </w:rPr>
              <w:t xml:space="preserve">Date:    </w:t>
            </w:r>
            <w:r w:rsidR="009C4F61">
              <w:rPr>
                <w:b/>
              </w:rPr>
              <w:t>September 19, 2017</w:t>
            </w:r>
          </w:p>
        </w:tc>
      </w:tr>
      <w:tr w:rsidR="00D81AA6" w:rsidRPr="001E0050" w:rsidTr="00151D8B">
        <w:trPr>
          <w:trHeight w:val="275"/>
        </w:trPr>
        <w:tc>
          <w:tcPr>
            <w:tcW w:w="9977" w:type="dxa"/>
            <w:gridSpan w:val="2"/>
            <w:vMerge w:val="restart"/>
            <w:vAlign w:val="center"/>
          </w:tcPr>
          <w:p w:rsidR="009C4F61" w:rsidRDefault="00D81AA6" w:rsidP="009C4F61">
            <w:pPr>
              <w:rPr>
                <w:b/>
              </w:rPr>
            </w:pPr>
            <w:r w:rsidRPr="001E0050">
              <w:rPr>
                <w:b/>
              </w:rPr>
              <w:t>Board Members Attending:</w:t>
            </w:r>
            <w:r w:rsidR="003F79C4">
              <w:rPr>
                <w:b/>
              </w:rPr>
              <w:t xml:space="preserve"> </w:t>
            </w:r>
            <w:r w:rsidR="00C27C64">
              <w:rPr>
                <w:b/>
              </w:rPr>
              <w:t>Robin Andrews, Ken Stall</w:t>
            </w:r>
            <w:r w:rsidR="006D2900">
              <w:rPr>
                <w:b/>
              </w:rPr>
              <w:t xml:space="preserve">, </w:t>
            </w:r>
            <w:r w:rsidR="009C4F61">
              <w:rPr>
                <w:b/>
              </w:rPr>
              <w:t>Chelly Hegan, Onat Sanchez-Schwartz</w:t>
            </w:r>
          </w:p>
          <w:p w:rsidR="001A7704" w:rsidRPr="001E0050" w:rsidRDefault="00D81AA6" w:rsidP="009C4F61">
            <w:r w:rsidRPr="001E0050">
              <w:rPr>
                <w:b/>
              </w:rPr>
              <w:t xml:space="preserve">Board Members Absent:  </w:t>
            </w:r>
            <w:r w:rsidR="009C4F61">
              <w:rPr>
                <w:b/>
              </w:rPr>
              <w:t>Jim Campion, PJ Keeler</w:t>
            </w:r>
          </w:p>
        </w:tc>
        <w:tc>
          <w:tcPr>
            <w:tcW w:w="4603" w:type="dxa"/>
          </w:tcPr>
          <w:p w:rsidR="00D81AA6" w:rsidRPr="001E0050" w:rsidRDefault="00D81AA6" w:rsidP="009C4F61">
            <w:pPr>
              <w:rPr>
                <w:b/>
              </w:rPr>
            </w:pPr>
            <w:r w:rsidRPr="001E0050">
              <w:rPr>
                <w:b/>
              </w:rPr>
              <w:t xml:space="preserve">Guests: </w:t>
            </w:r>
            <w:r w:rsidR="009C4F61">
              <w:rPr>
                <w:b/>
              </w:rPr>
              <w:t>None</w:t>
            </w:r>
          </w:p>
        </w:tc>
      </w:tr>
      <w:tr w:rsidR="00D81AA6" w:rsidRPr="001E0050" w:rsidTr="00151D8B">
        <w:trPr>
          <w:trHeight w:val="296"/>
        </w:trPr>
        <w:tc>
          <w:tcPr>
            <w:tcW w:w="9977" w:type="dxa"/>
            <w:gridSpan w:val="2"/>
            <w:vMerge/>
          </w:tcPr>
          <w:p w:rsidR="00D81AA6" w:rsidRPr="001E0050" w:rsidRDefault="00D81AA6" w:rsidP="001E0050">
            <w:pPr>
              <w:rPr>
                <w:b/>
              </w:rPr>
            </w:pPr>
          </w:p>
        </w:tc>
        <w:tc>
          <w:tcPr>
            <w:tcW w:w="4603"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E40D99"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pPr>
              <w:spacing w:before="120" w:after="120"/>
            </w:pPr>
            <w:r w:rsidRPr="001E0050">
              <w:t>Highlights from the Financial Reports</w:t>
            </w:r>
          </w:p>
          <w:p w:rsidR="00E40D99" w:rsidRDefault="00E40D99" w:rsidP="00E40D99"/>
        </w:tc>
        <w:tc>
          <w:tcPr>
            <w:tcW w:w="12787" w:type="dxa"/>
            <w:gridSpan w:val="2"/>
            <w:tcBorders>
              <w:top w:val="single" w:sz="4" w:space="0" w:color="auto"/>
              <w:left w:val="single" w:sz="4" w:space="0" w:color="auto"/>
              <w:bottom w:val="single" w:sz="4" w:space="0" w:color="auto"/>
            </w:tcBorders>
            <w:vAlign w:val="center"/>
          </w:tcPr>
          <w:p w:rsidR="00E40D99" w:rsidRDefault="00E40D99" w:rsidP="001D6095">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1D6095">
              <w:t>August 31</w:t>
            </w:r>
            <w:r>
              <w:t>, 201</w:t>
            </w:r>
            <w:r w:rsidR="006C5404">
              <w:t>7</w:t>
            </w:r>
            <w:r>
              <w:t xml:space="preserve">. </w:t>
            </w:r>
            <w:r w:rsidR="00151D8B">
              <w:t xml:space="preserve">John Ray offered his “Fiscal Highlights” (see attached).  </w:t>
            </w:r>
          </w:p>
        </w:tc>
      </w:tr>
      <w:tr w:rsidR="009C4F6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9C4F61" w:rsidRPr="001E0050" w:rsidRDefault="009C4F61" w:rsidP="00E40D99">
            <w:pPr>
              <w:spacing w:before="120" w:after="120"/>
            </w:pPr>
            <w:r>
              <w:t>Discussion about Monitoring Investment Account</w:t>
            </w:r>
          </w:p>
        </w:tc>
        <w:tc>
          <w:tcPr>
            <w:tcW w:w="12787" w:type="dxa"/>
            <w:gridSpan w:val="2"/>
            <w:tcBorders>
              <w:top w:val="single" w:sz="4" w:space="0" w:color="auto"/>
              <w:left w:val="single" w:sz="4" w:space="0" w:color="auto"/>
              <w:bottom w:val="single" w:sz="4" w:space="0" w:color="auto"/>
            </w:tcBorders>
            <w:vAlign w:val="center"/>
          </w:tcPr>
          <w:p w:rsidR="009C4F61" w:rsidRPr="001E0050" w:rsidRDefault="00210C29" w:rsidP="00151D8B">
            <w:pPr>
              <w:spacing w:before="120" w:after="120"/>
            </w:pPr>
            <w:r>
              <w:t xml:space="preserve">It was noted that in a prior meeting we had determined that we would like a 6 month in person review with our investment advisor, </w:t>
            </w:r>
            <w:r w:rsidR="0066211B">
              <w:t>and that would be the upcoming</w:t>
            </w:r>
            <w:r>
              <w:t xml:space="preserve"> meeting</w:t>
            </w:r>
            <w:r w:rsidR="0066211B">
              <w:t xml:space="preserve"> in November</w:t>
            </w:r>
            <w:r>
              <w:t xml:space="preserve">.  A discussion ensued about our expectations of that visit.  </w:t>
            </w:r>
            <w:r w:rsidR="001D6095">
              <w:t xml:space="preserve">The group engaged in a discussion about the investment account, which included three distinct topics: (1) the performance of the portfolio, (2) the performance of the person engaged to manage the portfolio, and (3) the </w:t>
            </w:r>
            <w:r w:rsidR="00151D8B">
              <w:t xml:space="preserve">role of the committee in monitoring the performance of both.  </w:t>
            </w:r>
            <w:r w:rsidR="001D6095">
              <w:t>The group agreed that we would ask Tim Bartholomew to visit with us about the account at our next meeting in November</w:t>
            </w:r>
            <w:r w:rsidR="00151D8B">
              <w:t xml:space="preserve">, at which time we will ask </w:t>
            </w:r>
            <w:r w:rsidR="001D6095">
              <w:t xml:space="preserve">him to evaluate the fund performance through the lens of our policy and make recommendations for changes as needed, accompanied by an explanation of his rationale for making those suggestions. </w:t>
            </w:r>
          </w:p>
        </w:tc>
      </w:tr>
      <w:tr w:rsidR="00E40D99"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r>
              <w:t>Next mtng</w:t>
            </w:r>
          </w:p>
        </w:tc>
        <w:tc>
          <w:tcPr>
            <w:tcW w:w="12787" w:type="dxa"/>
            <w:gridSpan w:val="2"/>
            <w:tcBorders>
              <w:top w:val="single" w:sz="4" w:space="0" w:color="auto"/>
              <w:left w:val="single" w:sz="4" w:space="0" w:color="auto"/>
              <w:bottom w:val="single" w:sz="4" w:space="0" w:color="auto"/>
            </w:tcBorders>
            <w:vAlign w:val="center"/>
          </w:tcPr>
          <w:p w:rsidR="00E40D99" w:rsidRPr="001E0050" w:rsidRDefault="00E40D99" w:rsidP="009C4F61">
            <w:pPr>
              <w:spacing w:before="120"/>
            </w:pPr>
            <w:r w:rsidRPr="005D783D">
              <w:t xml:space="preserve">The next meeting is </w:t>
            </w:r>
            <w:r w:rsidR="009C4F61">
              <w:rPr>
                <w:b/>
              </w:rPr>
              <w:t xml:space="preserve">November </w:t>
            </w:r>
            <w:r w:rsidR="0066211B">
              <w:rPr>
                <w:b/>
              </w:rPr>
              <w:t>21</w:t>
            </w:r>
            <w:r w:rsidR="002061BD" w:rsidRPr="00B75C3E">
              <w:rPr>
                <w:b/>
              </w:rPr>
              <w:t xml:space="preserve"> at 3:00 p.m.</w:t>
            </w:r>
          </w:p>
        </w:tc>
      </w:tr>
    </w:tbl>
    <w:p w:rsidR="00151D8B" w:rsidRDefault="00151D8B">
      <w:pPr>
        <w:sectPr w:rsidR="00151D8B" w:rsidSect="006C5404">
          <w:pgSz w:w="15840" w:h="12240" w:orient="landscape"/>
          <w:pgMar w:top="720" w:right="576" w:bottom="720" w:left="720" w:header="720" w:footer="720" w:gutter="0"/>
          <w:cols w:space="720"/>
          <w:docGrid w:linePitch="360"/>
        </w:sectPr>
      </w:pPr>
      <w:bookmarkStart w:id="0" w:name="_GoBack"/>
      <w:bookmarkEnd w:id="0"/>
    </w:p>
    <w:p w:rsidR="00151D8B" w:rsidRDefault="00151D8B"/>
    <w:tbl>
      <w:tblPr>
        <w:tblW w:w="0" w:type="auto"/>
        <w:tblLook w:val="04A0" w:firstRow="1" w:lastRow="0" w:firstColumn="1" w:lastColumn="0" w:noHBand="0" w:noVBand="1"/>
      </w:tblPr>
      <w:tblGrid>
        <w:gridCol w:w="223"/>
        <w:gridCol w:w="1208"/>
        <w:gridCol w:w="1772"/>
        <w:gridCol w:w="1345"/>
        <w:gridCol w:w="1675"/>
        <w:gridCol w:w="1922"/>
        <w:gridCol w:w="1808"/>
        <w:gridCol w:w="847"/>
      </w:tblGrid>
      <w:tr w:rsidR="00151D8B" w:rsidRPr="00151D8B" w:rsidTr="00D01490">
        <w:trPr>
          <w:trHeight w:val="465"/>
        </w:trPr>
        <w:tc>
          <w:tcPr>
            <w:tcW w:w="0" w:type="auto"/>
            <w:gridSpan w:val="8"/>
            <w:tcBorders>
              <w:top w:val="nil"/>
              <w:left w:val="nil"/>
              <w:bottom w:val="nil"/>
              <w:right w:val="nil"/>
            </w:tcBorders>
            <w:shd w:val="clear" w:color="auto" w:fill="auto"/>
            <w:noWrap/>
            <w:vAlign w:val="center"/>
            <w:hideMark/>
          </w:tcPr>
          <w:p w:rsidR="00151D8B" w:rsidRPr="00151D8B" w:rsidRDefault="00151D8B" w:rsidP="00151D8B">
            <w:pPr>
              <w:jc w:val="center"/>
              <w:rPr>
                <w:rFonts w:ascii="Calibri" w:hAnsi="Calibri" w:cs="Arial"/>
                <w:b/>
                <w:bCs/>
                <w:color w:val="000000"/>
                <w:sz w:val="36"/>
                <w:szCs w:val="36"/>
              </w:rPr>
            </w:pPr>
            <w:r w:rsidRPr="00151D8B">
              <w:rPr>
                <w:rFonts w:ascii="Calibri" w:hAnsi="Calibri" w:cs="Arial"/>
                <w:b/>
                <w:bCs/>
                <w:color w:val="000000"/>
                <w:sz w:val="36"/>
                <w:szCs w:val="36"/>
              </w:rPr>
              <w:t>Finance &amp; Budget Committee Meeting</w:t>
            </w:r>
          </w:p>
        </w:tc>
      </w:tr>
      <w:tr w:rsidR="00151D8B" w:rsidRPr="00151D8B" w:rsidTr="00D01490">
        <w:trPr>
          <w:trHeight w:val="465"/>
        </w:trPr>
        <w:tc>
          <w:tcPr>
            <w:tcW w:w="0" w:type="auto"/>
            <w:gridSpan w:val="8"/>
            <w:tcBorders>
              <w:top w:val="nil"/>
              <w:left w:val="nil"/>
              <w:bottom w:val="nil"/>
              <w:right w:val="nil"/>
            </w:tcBorders>
            <w:shd w:val="clear" w:color="auto" w:fill="auto"/>
            <w:noWrap/>
            <w:vAlign w:val="center"/>
            <w:hideMark/>
          </w:tcPr>
          <w:p w:rsidR="00151D8B" w:rsidRPr="00151D8B" w:rsidRDefault="00151D8B" w:rsidP="00151D8B">
            <w:pPr>
              <w:jc w:val="center"/>
              <w:rPr>
                <w:rFonts w:ascii="Calibri" w:hAnsi="Calibri" w:cs="Arial"/>
                <w:b/>
                <w:bCs/>
                <w:color w:val="000000"/>
                <w:sz w:val="36"/>
                <w:szCs w:val="36"/>
              </w:rPr>
            </w:pPr>
            <w:r w:rsidRPr="00151D8B">
              <w:rPr>
                <w:rFonts w:ascii="Calibri" w:hAnsi="Calibri" w:cs="Arial"/>
                <w:b/>
                <w:bCs/>
                <w:color w:val="000000"/>
                <w:sz w:val="36"/>
                <w:szCs w:val="36"/>
              </w:rPr>
              <w:t xml:space="preserve">   Fiscal Highlights</w:t>
            </w:r>
          </w:p>
        </w:tc>
      </w:tr>
      <w:tr w:rsidR="00151D8B" w:rsidRPr="00151D8B" w:rsidTr="00D01490">
        <w:trPr>
          <w:trHeight w:val="465"/>
        </w:trPr>
        <w:tc>
          <w:tcPr>
            <w:tcW w:w="0" w:type="auto"/>
            <w:gridSpan w:val="8"/>
            <w:tcBorders>
              <w:top w:val="nil"/>
              <w:left w:val="nil"/>
              <w:bottom w:val="nil"/>
              <w:right w:val="nil"/>
            </w:tcBorders>
            <w:shd w:val="clear" w:color="auto" w:fill="auto"/>
            <w:noWrap/>
            <w:vAlign w:val="center"/>
            <w:hideMark/>
          </w:tcPr>
          <w:p w:rsidR="00151D8B" w:rsidRPr="00151D8B" w:rsidRDefault="00151D8B" w:rsidP="00151D8B">
            <w:pPr>
              <w:jc w:val="center"/>
              <w:rPr>
                <w:rFonts w:ascii="Calibri" w:hAnsi="Calibri" w:cs="Arial"/>
                <w:b/>
                <w:bCs/>
                <w:color w:val="000000"/>
                <w:sz w:val="36"/>
                <w:szCs w:val="36"/>
              </w:rPr>
            </w:pPr>
            <w:r w:rsidRPr="00151D8B">
              <w:rPr>
                <w:rFonts w:ascii="Calibri" w:hAnsi="Calibri" w:cs="Arial"/>
                <w:b/>
                <w:bCs/>
                <w:color w:val="000000"/>
                <w:sz w:val="36"/>
                <w:szCs w:val="36"/>
              </w:rPr>
              <w:t>Tuesday, September 19, 2017</w:t>
            </w:r>
          </w:p>
        </w:tc>
      </w:tr>
      <w:tr w:rsidR="00151D8B" w:rsidRPr="00151D8B" w:rsidTr="00D01490">
        <w:trPr>
          <w:trHeight w:val="435"/>
        </w:trPr>
        <w:tc>
          <w:tcPr>
            <w:tcW w:w="0" w:type="auto"/>
            <w:gridSpan w:val="8"/>
            <w:tcBorders>
              <w:top w:val="nil"/>
              <w:left w:val="nil"/>
              <w:bottom w:val="nil"/>
              <w:right w:val="nil"/>
            </w:tcBorders>
            <w:shd w:val="clear" w:color="auto" w:fill="auto"/>
            <w:vAlign w:val="bottom"/>
            <w:hideMark/>
          </w:tcPr>
          <w:p w:rsidR="00151D8B" w:rsidRPr="00151D8B" w:rsidRDefault="00151D8B" w:rsidP="00151D8B">
            <w:pPr>
              <w:jc w:val="center"/>
              <w:rPr>
                <w:rFonts w:ascii="Wide Latin" w:hAnsi="Wide Latin" w:cs="Arial"/>
                <w:color w:val="000000"/>
              </w:rPr>
            </w:pPr>
            <w:bookmarkStart w:id="1" w:name="RANGE!A4:H92"/>
            <w:r w:rsidRPr="00151D8B">
              <w:rPr>
                <w:rFonts w:ascii="Wide Latin" w:hAnsi="Wide Latin" w:cs="Arial"/>
                <w:color w:val="000000"/>
              </w:rPr>
              <w:t>Statement of Financial Position</w:t>
            </w:r>
            <w:bookmarkEnd w:id="1"/>
          </w:p>
        </w:tc>
      </w:tr>
      <w:tr w:rsidR="00151D8B" w:rsidRPr="00151D8B" w:rsidTr="00D01490">
        <w:trPr>
          <w:trHeight w:val="1020"/>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b/>
                <w:bCs/>
                <w:color w:val="000000"/>
              </w:rPr>
              <w:t xml:space="preserve"> Cash</w:t>
            </w:r>
            <w:r w:rsidRPr="00151D8B">
              <w:rPr>
                <w:rFonts w:ascii="Calibri" w:hAnsi="Calibri" w:cs="Arial"/>
                <w:color w:val="000000"/>
              </w:rPr>
              <w:t xml:space="preserve"> -  Cash balance in the operating checking account started the year off with $355K and ended with $389K at August 31, 2017. Low balance on June 26th was $199K &amp; the high balance on February 17th was $405K. Average daily balance for 2017 is $318K. During the month of July'17, we received two grant advances from NYSDOH totaling $102K (Tobacco $80K + CSP $22K)</w:t>
            </w:r>
          </w:p>
        </w:tc>
      </w:tr>
      <w:tr w:rsidR="009333B2" w:rsidRPr="00151D8B" w:rsidTr="00D01490">
        <w:trPr>
          <w:trHeight w:val="1620"/>
        </w:trPr>
        <w:tc>
          <w:tcPr>
            <w:tcW w:w="0" w:type="auto"/>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r w:rsidRPr="00151D8B">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-1896745</wp:posOffset>
                  </wp:positionH>
                  <wp:positionV relativeFrom="paragraph">
                    <wp:posOffset>133985</wp:posOffset>
                  </wp:positionV>
                  <wp:extent cx="6734175" cy="2476500"/>
                  <wp:effectExtent l="0" t="0" r="9525" b="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9333B2" w:rsidRPr="00151D8B" w:rsidTr="00D01490">
        <w:trPr>
          <w:trHeight w:val="162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9333B2" w:rsidRPr="00151D8B" w:rsidTr="009232D6">
        <w:trPr>
          <w:trHeight w:val="1134"/>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151D8B" w:rsidRPr="00151D8B" w:rsidTr="00D01490">
        <w:trPr>
          <w:trHeight w:val="765"/>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color w:val="000000"/>
              </w:rPr>
              <w:t xml:space="preserve"> </w:t>
            </w:r>
            <w:r w:rsidRPr="00151D8B">
              <w:rPr>
                <w:rFonts w:ascii="Calibri" w:hAnsi="Calibri" w:cs="Arial"/>
                <w:b/>
                <w:bCs/>
                <w:color w:val="000000"/>
              </w:rPr>
              <w:t xml:space="preserve">Grant Receivable - </w:t>
            </w:r>
            <w:r w:rsidRPr="00151D8B">
              <w:rPr>
                <w:rFonts w:ascii="Calibri" w:hAnsi="Calibri" w:cs="Arial"/>
                <w:color w:val="000000"/>
              </w:rPr>
              <w:t xml:space="preserve">  As of August 31, 2017 our Grant Receivable is $200,884. Expectation is that we will collect on all receivables.  Summary as follows:</w:t>
            </w: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rPr>
                <w:rFonts w:ascii="Wingdings" w:hAnsi="Wingdings" w:cs="Arial"/>
                <w:color w:val="00000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color w:val="000000"/>
              </w:rPr>
            </w:pPr>
            <w:r w:rsidRPr="00151D8B">
              <w:rPr>
                <w:color w:val="000000"/>
              </w:rPr>
              <w:t>Amount $</w:t>
            </w: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color w:val="00000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Rural Health Network Program</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27,089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Navigator Health Exchange Program</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42,356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Tobacco-Free Program</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64,995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Cancer Services Program</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18,998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Transportation-Medicaid</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16,266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Other Columbia County Programs</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29,520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15"/>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sz w:val="20"/>
                <w:szCs w:val="20"/>
              </w:rPr>
            </w:pP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Greene County DSS</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1,660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9333B2" w:rsidRPr="00151D8B" w:rsidTr="00D01490">
        <w:trPr>
          <w:trHeight w:val="330"/>
        </w:trPr>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r>
              <w:br w:type="page"/>
            </w:r>
          </w:p>
        </w:tc>
        <w:tc>
          <w:tcPr>
            <w:tcW w:w="0" w:type="auto"/>
            <w:gridSpan w:val="2"/>
            <w:tcBorders>
              <w:top w:val="nil"/>
              <w:left w:val="nil"/>
              <w:bottom w:val="nil"/>
              <w:right w:val="nil"/>
            </w:tcBorders>
            <w:shd w:val="clear" w:color="auto" w:fill="auto"/>
            <w:hideMark/>
          </w:tcPr>
          <w:p w:rsidR="00151D8B" w:rsidRPr="00151D8B" w:rsidRDefault="00151D8B" w:rsidP="00151D8B">
            <w:pPr>
              <w:jc w:val="center"/>
              <w:rPr>
                <w:color w:val="000000"/>
              </w:rPr>
            </w:pPr>
            <w:r w:rsidRPr="00151D8B">
              <w:rPr>
                <w:color w:val="000000"/>
              </w:rPr>
              <w:t>Total Grant Receivable</w:t>
            </w: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color w:val="000000"/>
              </w:rPr>
            </w:pPr>
          </w:p>
        </w:tc>
        <w:tc>
          <w:tcPr>
            <w:tcW w:w="0" w:type="auto"/>
            <w:tcBorders>
              <w:top w:val="single" w:sz="4" w:space="0" w:color="auto"/>
              <w:left w:val="nil"/>
              <w:bottom w:val="double" w:sz="6" w:space="0" w:color="auto"/>
              <w:right w:val="nil"/>
            </w:tcBorders>
            <w:shd w:val="clear" w:color="auto" w:fill="auto"/>
            <w:vAlign w:val="bottom"/>
            <w:hideMark/>
          </w:tcPr>
          <w:p w:rsidR="00151D8B" w:rsidRPr="00151D8B" w:rsidRDefault="00151D8B" w:rsidP="00151D8B">
            <w:pPr>
              <w:jc w:val="right"/>
              <w:rPr>
                <w:color w:val="000000"/>
              </w:rPr>
            </w:pPr>
            <w:r w:rsidRPr="00151D8B">
              <w:rPr>
                <w:color w:val="000000"/>
              </w:rPr>
              <w:t xml:space="preserve">$200,884 </w:t>
            </w:r>
          </w:p>
        </w:tc>
        <w:tc>
          <w:tcPr>
            <w:tcW w:w="0" w:type="auto"/>
            <w:tcBorders>
              <w:top w:val="nil"/>
              <w:left w:val="nil"/>
              <w:bottom w:val="nil"/>
              <w:right w:val="nil"/>
            </w:tcBorders>
            <w:shd w:val="clear" w:color="auto" w:fill="auto"/>
            <w:vAlign w:val="bottom"/>
            <w:hideMark/>
          </w:tcPr>
          <w:p w:rsidR="00151D8B" w:rsidRPr="00151D8B" w:rsidRDefault="00151D8B" w:rsidP="00151D8B">
            <w:pPr>
              <w:jc w:val="right"/>
              <w:rPr>
                <w:color w:val="00000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bottom"/>
            <w:hideMark/>
          </w:tcPr>
          <w:p w:rsidR="00151D8B" w:rsidRPr="00151D8B" w:rsidRDefault="00151D8B" w:rsidP="00151D8B">
            <w:pPr>
              <w:jc w:val="center"/>
              <w:rPr>
                <w:sz w:val="20"/>
                <w:szCs w:val="20"/>
              </w:rPr>
            </w:pPr>
          </w:p>
        </w:tc>
      </w:tr>
      <w:tr w:rsidR="00151D8B" w:rsidRPr="00151D8B" w:rsidTr="00D01490">
        <w:trPr>
          <w:trHeight w:val="76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7"/>
            <w:vMerge w:val="restart"/>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p>
        </w:tc>
      </w:tr>
      <w:tr w:rsidR="00151D8B" w:rsidRPr="00151D8B" w:rsidTr="00D01490">
        <w:trPr>
          <w:trHeight w:val="1770"/>
        </w:trPr>
        <w:tc>
          <w:tcPr>
            <w:tcW w:w="0" w:type="auto"/>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noProof/>
                <w:color w:val="000000"/>
              </w:rPr>
              <w:lastRenderedPageBreak/>
              <w:drawing>
                <wp:anchor distT="0" distB="0" distL="114300" distR="114300" simplePos="0" relativeHeight="251660288" behindDoc="0" locked="0" layoutInCell="1" allowOverlap="1">
                  <wp:simplePos x="0" y="0"/>
                  <wp:positionH relativeFrom="column">
                    <wp:posOffset>45720</wp:posOffset>
                  </wp:positionH>
                  <wp:positionV relativeFrom="paragraph">
                    <wp:posOffset>-108586</wp:posOffset>
                  </wp:positionV>
                  <wp:extent cx="6200775" cy="3076575"/>
                  <wp:effectExtent l="0" t="0" r="9525" b="9525"/>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0" w:type="auto"/>
            <w:gridSpan w:val="7"/>
            <w:vMerge/>
            <w:tcBorders>
              <w:top w:val="nil"/>
              <w:left w:val="nil"/>
              <w:bottom w:val="nil"/>
              <w:right w:val="nil"/>
            </w:tcBorders>
            <w:vAlign w:val="center"/>
            <w:hideMark/>
          </w:tcPr>
          <w:p w:rsidR="00151D8B" w:rsidRPr="00151D8B" w:rsidRDefault="00151D8B" w:rsidP="00151D8B">
            <w:pPr>
              <w:rPr>
                <w:rFonts w:ascii="Wingdings" w:hAnsi="Wingdings" w:cs="Arial"/>
                <w:color w:val="000000"/>
              </w:rPr>
            </w:pPr>
          </w:p>
        </w:tc>
      </w:tr>
      <w:tr w:rsidR="00151D8B" w:rsidRPr="00151D8B" w:rsidTr="00D01490">
        <w:trPr>
          <w:trHeight w:val="177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gridSpan w:val="7"/>
            <w:vMerge/>
            <w:tcBorders>
              <w:top w:val="nil"/>
              <w:left w:val="nil"/>
              <w:bottom w:val="nil"/>
              <w:right w:val="nil"/>
            </w:tcBorders>
            <w:vAlign w:val="center"/>
            <w:hideMark/>
          </w:tcPr>
          <w:p w:rsidR="00151D8B" w:rsidRPr="00151D8B" w:rsidRDefault="00151D8B" w:rsidP="00151D8B">
            <w:pPr>
              <w:rPr>
                <w:rFonts w:ascii="Wingdings" w:hAnsi="Wingdings" w:cs="Arial"/>
                <w:color w:val="000000"/>
              </w:rPr>
            </w:pPr>
          </w:p>
        </w:tc>
      </w:tr>
      <w:tr w:rsidR="00151D8B" w:rsidRPr="00151D8B" w:rsidTr="00D01490">
        <w:trPr>
          <w:trHeight w:val="177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gridSpan w:val="7"/>
            <w:vMerge/>
            <w:tcBorders>
              <w:top w:val="nil"/>
              <w:left w:val="nil"/>
              <w:bottom w:val="nil"/>
              <w:right w:val="nil"/>
            </w:tcBorders>
            <w:vAlign w:val="center"/>
            <w:hideMark/>
          </w:tcPr>
          <w:p w:rsidR="00151D8B" w:rsidRPr="00151D8B" w:rsidRDefault="00151D8B" w:rsidP="00151D8B">
            <w:pPr>
              <w:rPr>
                <w:rFonts w:ascii="Wingdings" w:hAnsi="Wingdings" w:cs="Arial"/>
                <w:color w:val="000000"/>
              </w:rPr>
            </w:pPr>
          </w:p>
        </w:tc>
      </w:tr>
      <w:tr w:rsidR="00151D8B" w:rsidRPr="00151D8B" w:rsidTr="00D01490">
        <w:trPr>
          <w:trHeight w:val="705"/>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b/>
                <w:bCs/>
                <w:color w:val="000000"/>
              </w:rPr>
              <w:t xml:space="preserve"> Miscellaneous Receivable</w:t>
            </w:r>
            <w:r w:rsidRPr="00151D8B">
              <w:rPr>
                <w:rFonts w:ascii="Calibri" w:hAnsi="Calibri" w:cs="Arial"/>
                <w:color w:val="000000"/>
              </w:rPr>
              <w:t xml:space="preserve"> - Auctions International owes Agency $3,350 for sale of 2010 Dodge Grand Caravan that was completed during the month of August. Funds received September 19, 2017.  </w:t>
            </w: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151D8B" w:rsidRPr="00151D8B" w:rsidTr="00D01490">
        <w:trPr>
          <w:trHeight w:val="765"/>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b/>
                <w:bCs/>
                <w:color w:val="000000"/>
              </w:rPr>
              <w:t xml:space="preserve"> Investment - Infinex Financial-Securities</w:t>
            </w:r>
            <w:r w:rsidRPr="00151D8B">
              <w:rPr>
                <w:rFonts w:ascii="Calibri" w:hAnsi="Calibri" w:cs="Arial"/>
                <w:color w:val="000000"/>
              </w:rPr>
              <w:t xml:space="preserve"> - As of August 31, 2017, investment account value of six mutual funds is $162,013. Initial investment was $25K per mutual fund</w:t>
            </w:r>
          </w:p>
        </w:tc>
      </w:tr>
      <w:tr w:rsidR="009333B2" w:rsidRPr="00151D8B" w:rsidTr="00D01490">
        <w:trPr>
          <w:trHeight w:val="345"/>
        </w:trPr>
        <w:tc>
          <w:tcPr>
            <w:tcW w:w="0" w:type="auto"/>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Beginning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Purchases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Income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Unrealized Gains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Ending Balance</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Cash</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FF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FF0000"/>
                <w:sz w:val="22"/>
                <w:szCs w:val="22"/>
              </w:rPr>
              <w:t>(2,107)</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2,107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FF0000"/>
                <w:sz w:val="22"/>
                <w:szCs w:val="22"/>
              </w:rPr>
              <w:t>(0)</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xml:space="preserve">FCISX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26,400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827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827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578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27,805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xml:space="preserve">FRUGX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24,919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375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375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FF0000"/>
                <w:sz w:val="22"/>
                <w:szCs w:val="22"/>
              </w:rPr>
              <w:t>(251)</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25,043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xml:space="preserve">FRGSX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25,841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0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0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4,446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30,287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FCSCX</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25,202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243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243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FF0000"/>
                <w:sz w:val="22"/>
                <w:szCs w:val="22"/>
              </w:rPr>
              <w:t>(393)</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25,052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xml:space="preserve">FSGCX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25,507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225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225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766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26,499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TEGBX</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26,664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437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437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227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27,328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rFonts w:ascii="Arial" w:hAnsi="Arial" w:cs="Arial"/>
                <w:color w:val="000000"/>
                <w:sz w:val="22"/>
                <w:szCs w:val="22"/>
              </w:rPr>
            </w:pPr>
          </w:p>
        </w:tc>
      </w:tr>
      <w:tr w:rsidR="009333B2" w:rsidRPr="00151D8B" w:rsidTr="00D01490">
        <w:trPr>
          <w:trHeight w:val="31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tcBorders>
              <w:top w:val="nil"/>
              <w:left w:val="nil"/>
              <w:bottom w:val="double" w:sz="6" w:space="0" w:color="auto"/>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154,533 </w:t>
            </w:r>
          </w:p>
        </w:tc>
        <w:tc>
          <w:tcPr>
            <w:tcW w:w="0" w:type="auto"/>
            <w:tcBorders>
              <w:top w:val="nil"/>
              <w:left w:val="nil"/>
              <w:bottom w:val="nil"/>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rFonts w:ascii="Arial" w:hAnsi="Arial" w:cs="Arial"/>
                <w:color w:val="000000"/>
                <w:sz w:val="22"/>
                <w:szCs w:val="22"/>
              </w:rPr>
            </w:pPr>
            <w:r w:rsidRPr="00151D8B">
              <w:rPr>
                <w:rFonts w:ascii="Arial" w:hAnsi="Arial" w:cs="Arial"/>
                <w:color w:val="000000"/>
                <w:sz w:val="22"/>
                <w:szCs w:val="22"/>
              </w:rPr>
              <w:t>Totals</w:t>
            </w:r>
          </w:p>
        </w:tc>
        <w:tc>
          <w:tcPr>
            <w:tcW w:w="0" w:type="auto"/>
            <w:tcBorders>
              <w:top w:val="nil"/>
              <w:left w:val="nil"/>
              <w:bottom w:val="double" w:sz="6" w:space="0" w:color="auto"/>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5,373 </w:t>
            </w:r>
          </w:p>
        </w:tc>
        <w:tc>
          <w:tcPr>
            <w:tcW w:w="0" w:type="auto"/>
            <w:tcBorders>
              <w:top w:val="nil"/>
              <w:left w:val="nil"/>
              <w:bottom w:val="double" w:sz="6" w:space="0" w:color="auto"/>
              <w:right w:val="nil"/>
            </w:tcBorders>
            <w:shd w:val="clear" w:color="auto" w:fill="auto"/>
            <w:noWrap/>
            <w:vAlign w:val="bottom"/>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 xml:space="preserve">162,013 </w:t>
            </w:r>
          </w:p>
        </w:tc>
        <w:tc>
          <w:tcPr>
            <w:tcW w:w="0" w:type="auto"/>
            <w:tcBorders>
              <w:top w:val="nil"/>
              <w:left w:val="nil"/>
              <w:bottom w:val="double" w:sz="6" w:space="0" w:color="auto"/>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4.84%</w:t>
            </w:r>
          </w:p>
        </w:tc>
      </w:tr>
      <w:tr w:rsidR="009333B2" w:rsidRPr="00151D8B" w:rsidTr="00D01490">
        <w:trPr>
          <w:trHeight w:val="315"/>
        </w:trPr>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rPr>
                <w:rFonts w:ascii="Arial" w:hAnsi="Arial" w:cs="Arial"/>
                <w:color w:val="000000"/>
                <w:sz w:val="22"/>
                <w:szCs w:val="22"/>
              </w:rPr>
            </w:pPr>
            <w:r w:rsidRPr="00151D8B">
              <w:rPr>
                <w:rFonts w:ascii="Calibri" w:hAnsi="Calibri" w:cs="Arial"/>
                <w:b/>
                <w:bCs/>
                <w:color w:val="000000"/>
                <w:sz w:val="22"/>
                <w:szCs w:val="22"/>
              </w:rPr>
              <w:t>TEGBX</w:t>
            </w:r>
            <w:r w:rsidRPr="00151D8B">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0" w:type="auto"/>
            <w:tcBorders>
              <w:top w:val="nil"/>
              <w:left w:val="nil"/>
              <w:bottom w:val="nil"/>
              <w:right w:val="nil"/>
            </w:tcBorders>
            <w:shd w:val="clear" w:color="auto" w:fill="auto"/>
            <w:vAlign w:val="center"/>
            <w:hideMark/>
          </w:tcPr>
          <w:p w:rsidR="00151D8B" w:rsidRPr="00151D8B" w:rsidRDefault="00151D8B" w:rsidP="00151D8B">
            <w:pPr>
              <w:rPr>
                <w:rFonts w:ascii="Arial" w:hAnsi="Arial" w:cs="Arial"/>
                <w:color w:val="000000"/>
                <w:sz w:val="22"/>
                <w:szCs w:val="22"/>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rPr>
                <w:rFonts w:ascii="Arial" w:hAnsi="Arial" w:cs="Arial"/>
                <w:color w:val="000000"/>
                <w:sz w:val="22"/>
                <w:szCs w:val="22"/>
              </w:rPr>
            </w:pPr>
            <w:r w:rsidRPr="00151D8B">
              <w:rPr>
                <w:rFonts w:ascii="Calibri" w:hAnsi="Calibri" w:cs="Arial"/>
                <w:b/>
                <w:bCs/>
                <w:color w:val="000000"/>
                <w:sz w:val="22"/>
                <w:szCs w:val="22"/>
              </w:rPr>
              <w:t>FSGCX</w:t>
            </w:r>
            <w:r w:rsidRPr="00151D8B">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0" w:type="auto"/>
            <w:tcBorders>
              <w:top w:val="nil"/>
              <w:left w:val="nil"/>
              <w:bottom w:val="nil"/>
              <w:right w:val="nil"/>
            </w:tcBorders>
            <w:shd w:val="clear" w:color="auto" w:fill="auto"/>
            <w:vAlign w:val="center"/>
            <w:hideMark/>
          </w:tcPr>
          <w:p w:rsidR="00151D8B" w:rsidRPr="00151D8B" w:rsidRDefault="00151D8B" w:rsidP="00151D8B">
            <w:pPr>
              <w:rPr>
                <w:rFonts w:ascii="Arial" w:hAnsi="Arial" w:cs="Arial"/>
                <w:color w:val="000000"/>
                <w:sz w:val="22"/>
                <w:szCs w:val="22"/>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rPr>
                <w:rFonts w:ascii="Arial" w:hAnsi="Arial" w:cs="Arial"/>
                <w:color w:val="000000"/>
                <w:sz w:val="22"/>
                <w:szCs w:val="22"/>
              </w:rPr>
            </w:pPr>
            <w:r w:rsidRPr="00151D8B">
              <w:rPr>
                <w:rFonts w:ascii="Calibri" w:hAnsi="Calibri" w:cs="Arial"/>
                <w:b/>
                <w:bCs/>
                <w:color w:val="000000"/>
                <w:sz w:val="22"/>
                <w:szCs w:val="22"/>
              </w:rPr>
              <w:t>FCSCX</w:t>
            </w:r>
            <w:r w:rsidRPr="00151D8B">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0" w:type="auto"/>
            <w:tcBorders>
              <w:top w:val="nil"/>
              <w:left w:val="nil"/>
              <w:bottom w:val="nil"/>
              <w:right w:val="nil"/>
            </w:tcBorders>
            <w:shd w:val="clear" w:color="auto" w:fill="auto"/>
            <w:vAlign w:val="center"/>
            <w:hideMark/>
          </w:tcPr>
          <w:p w:rsidR="00151D8B" w:rsidRPr="00151D8B" w:rsidRDefault="00151D8B" w:rsidP="00151D8B">
            <w:pPr>
              <w:rPr>
                <w:rFonts w:ascii="Arial" w:hAnsi="Arial" w:cs="Arial"/>
                <w:color w:val="000000"/>
                <w:sz w:val="22"/>
                <w:szCs w:val="22"/>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rFonts w:ascii="Arial" w:hAnsi="Arial" w:cs="Arial"/>
                <w:color w:val="000000"/>
                <w:sz w:val="22"/>
                <w:szCs w:val="22"/>
              </w:rPr>
            </w:pPr>
            <w:r w:rsidRPr="00151D8B">
              <w:rPr>
                <w:rFonts w:ascii="Calibri" w:hAnsi="Calibri" w:cs="Arial"/>
                <w:b/>
                <w:bCs/>
                <w:color w:val="000000"/>
                <w:sz w:val="22"/>
                <w:szCs w:val="22"/>
              </w:rPr>
              <w:t>FRGSX</w:t>
            </w:r>
            <w:r w:rsidRPr="00151D8B">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0" w:type="auto"/>
            <w:tcBorders>
              <w:top w:val="nil"/>
              <w:left w:val="nil"/>
              <w:bottom w:val="nil"/>
              <w:right w:val="nil"/>
            </w:tcBorders>
            <w:shd w:val="clear" w:color="auto" w:fill="auto"/>
            <w:vAlign w:val="center"/>
            <w:hideMark/>
          </w:tcPr>
          <w:p w:rsidR="00151D8B" w:rsidRPr="00151D8B" w:rsidRDefault="00151D8B" w:rsidP="00151D8B">
            <w:pPr>
              <w:rPr>
                <w:rFonts w:ascii="Arial" w:hAnsi="Arial" w:cs="Arial"/>
                <w:color w:val="000000"/>
                <w:sz w:val="22"/>
                <w:szCs w:val="22"/>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rPr>
                <w:rFonts w:ascii="Arial" w:hAnsi="Arial" w:cs="Arial"/>
                <w:color w:val="000000"/>
                <w:sz w:val="22"/>
                <w:szCs w:val="22"/>
              </w:rPr>
            </w:pPr>
            <w:r w:rsidRPr="00151D8B">
              <w:rPr>
                <w:rFonts w:ascii="Calibri" w:hAnsi="Calibri" w:cs="Arial"/>
                <w:b/>
                <w:bCs/>
                <w:color w:val="000000"/>
                <w:sz w:val="22"/>
                <w:szCs w:val="22"/>
              </w:rPr>
              <w:t>FRUGX</w:t>
            </w:r>
            <w:r w:rsidRPr="00151D8B">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0" w:type="auto"/>
            <w:tcBorders>
              <w:top w:val="nil"/>
              <w:left w:val="nil"/>
              <w:bottom w:val="nil"/>
              <w:right w:val="nil"/>
            </w:tcBorders>
            <w:shd w:val="clear" w:color="auto" w:fill="auto"/>
            <w:vAlign w:val="center"/>
            <w:hideMark/>
          </w:tcPr>
          <w:p w:rsidR="00151D8B" w:rsidRPr="00151D8B" w:rsidRDefault="00151D8B" w:rsidP="00151D8B">
            <w:pPr>
              <w:rPr>
                <w:rFonts w:ascii="Arial" w:hAnsi="Arial" w:cs="Arial"/>
                <w:color w:val="000000"/>
                <w:sz w:val="22"/>
                <w:szCs w:val="22"/>
              </w:rPr>
            </w:pPr>
          </w:p>
        </w:tc>
      </w:tr>
      <w:tr w:rsidR="009333B2" w:rsidRPr="00151D8B" w:rsidTr="00D01490">
        <w:trPr>
          <w:trHeight w:val="945"/>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spacing w:after="240"/>
              <w:rPr>
                <w:rFonts w:ascii="Arial" w:hAnsi="Arial" w:cs="Arial"/>
                <w:color w:val="000000"/>
                <w:sz w:val="22"/>
                <w:szCs w:val="22"/>
              </w:rPr>
            </w:pPr>
            <w:r w:rsidRPr="00151D8B">
              <w:rPr>
                <w:rFonts w:ascii="Calibri" w:hAnsi="Calibri" w:cs="Arial"/>
                <w:b/>
                <w:bCs/>
                <w:color w:val="000000"/>
                <w:sz w:val="22"/>
                <w:szCs w:val="22"/>
              </w:rPr>
              <w:t>FCISX</w:t>
            </w:r>
            <w:r w:rsidRPr="00151D8B">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0" w:type="auto"/>
            <w:tcBorders>
              <w:top w:val="nil"/>
              <w:left w:val="nil"/>
              <w:bottom w:val="nil"/>
              <w:right w:val="nil"/>
            </w:tcBorders>
            <w:shd w:val="clear" w:color="auto" w:fill="auto"/>
            <w:vAlign w:val="center"/>
            <w:hideMark/>
          </w:tcPr>
          <w:p w:rsidR="00151D8B" w:rsidRPr="00151D8B" w:rsidRDefault="00151D8B" w:rsidP="00151D8B">
            <w:pPr>
              <w:spacing w:after="240"/>
              <w:rPr>
                <w:rFonts w:ascii="Arial" w:hAnsi="Arial" w:cs="Arial"/>
                <w:color w:val="000000"/>
                <w:sz w:val="22"/>
                <w:szCs w:val="22"/>
              </w:rPr>
            </w:pPr>
          </w:p>
        </w:tc>
      </w:tr>
      <w:tr w:rsidR="009333B2" w:rsidRPr="00151D8B" w:rsidTr="00D01490">
        <w:trPr>
          <w:trHeight w:val="150"/>
        </w:trPr>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151D8B" w:rsidRPr="00151D8B" w:rsidTr="00D01490">
        <w:trPr>
          <w:trHeight w:val="510"/>
        </w:trPr>
        <w:tc>
          <w:tcPr>
            <w:tcW w:w="0" w:type="auto"/>
            <w:gridSpan w:val="8"/>
            <w:tcBorders>
              <w:top w:val="nil"/>
              <w:left w:val="nil"/>
              <w:bottom w:val="nil"/>
              <w:right w:val="nil"/>
            </w:tcBorders>
            <w:shd w:val="clear" w:color="auto" w:fill="auto"/>
            <w:vAlign w:val="bottom"/>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b/>
                <w:bCs/>
                <w:color w:val="000000"/>
              </w:rPr>
              <w:t xml:space="preserve"> Equipment, Furniture &amp; Vehicles</w:t>
            </w:r>
            <w:r w:rsidRPr="00151D8B">
              <w:rPr>
                <w:rFonts w:ascii="Calibri" w:hAnsi="Calibri" w:cs="Arial"/>
                <w:color w:val="000000"/>
              </w:rPr>
              <w:t xml:space="preserve"> -Agency purchased and sold the following capital equipment. </w:t>
            </w: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1D8B" w:rsidRPr="00151D8B" w:rsidRDefault="00151D8B" w:rsidP="00151D8B">
            <w:pPr>
              <w:jc w:val="center"/>
              <w:rPr>
                <w:rFonts w:ascii="Calibri" w:hAnsi="Calibri" w:cs="Arial"/>
                <w:b/>
                <w:bCs/>
                <w:color w:val="000000"/>
                <w:sz w:val="22"/>
                <w:szCs w:val="22"/>
              </w:rPr>
            </w:pPr>
            <w:r w:rsidRPr="00151D8B">
              <w:rPr>
                <w:rFonts w:ascii="Calibri" w:hAnsi="Calibri" w:cs="Arial"/>
                <w:b/>
                <w:bCs/>
                <w:color w:val="000000"/>
                <w:sz w:val="22"/>
                <w:szCs w:val="22"/>
              </w:rPr>
              <w:t>Month in Service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51D8B" w:rsidRPr="00151D8B" w:rsidRDefault="00151D8B" w:rsidP="00151D8B">
            <w:pPr>
              <w:jc w:val="center"/>
              <w:rPr>
                <w:rFonts w:ascii="Calibri" w:hAnsi="Calibri" w:cs="Arial"/>
                <w:b/>
                <w:bCs/>
                <w:color w:val="000000"/>
                <w:sz w:val="22"/>
                <w:szCs w:val="22"/>
              </w:rPr>
            </w:pPr>
            <w:r w:rsidRPr="00151D8B">
              <w:rPr>
                <w:rFonts w:ascii="Calibri" w:hAnsi="Calibri" w:cs="Arial"/>
                <w:b/>
                <w:bCs/>
                <w:color w:val="000000"/>
                <w:sz w:val="22"/>
                <w:szCs w:val="22"/>
              </w:rPr>
              <w:t>Funding Source</w:t>
            </w:r>
          </w:p>
        </w:tc>
        <w:tc>
          <w:tcPr>
            <w:tcW w:w="0" w:type="auto"/>
            <w:tcBorders>
              <w:top w:val="single" w:sz="4" w:space="0" w:color="auto"/>
              <w:left w:val="nil"/>
              <w:bottom w:val="single" w:sz="4" w:space="0" w:color="auto"/>
              <w:right w:val="single" w:sz="4" w:space="0" w:color="auto"/>
            </w:tcBorders>
            <w:shd w:val="clear" w:color="auto" w:fill="auto"/>
            <w:hideMark/>
          </w:tcPr>
          <w:p w:rsidR="00151D8B" w:rsidRPr="00151D8B" w:rsidRDefault="00151D8B" w:rsidP="00151D8B">
            <w:pPr>
              <w:jc w:val="center"/>
              <w:rPr>
                <w:rFonts w:ascii="Calibri" w:hAnsi="Calibri" w:cs="Arial"/>
                <w:b/>
                <w:bCs/>
                <w:color w:val="000000"/>
                <w:sz w:val="22"/>
                <w:szCs w:val="22"/>
              </w:rPr>
            </w:pPr>
            <w:r w:rsidRPr="00151D8B">
              <w:rPr>
                <w:rFonts w:ascii="Calibri" w:hAnsi="Calibri" w:cs="Arial"/>
                <w:b/>
                <w:bCs/>
                <w:color w:val="000000"/>
                <w:sz w:val="22"/>
                <w:szCs w:val="22"/>
              </w:rPr>
              <w:t>Supplier</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151D8B" w:rsidRPr="00151D8B" w:rsidRDefault="00151D8B" w:rsidP="00151D8B">
            <w:pPr>
              <w:jc w:val="center"/>
              <w:rPr>
                <w:rFonts w:ascii="Calibri" w:hAnsi="Calibri" w:cs="Arial"/>
                <w:b/>
                <w:bCs/>
                <w:color w:val="000000"/>
                <w:sz w:val="22"/>
                <w:szCs w:val="22"/>
              </w:rPr>
            </w:pPr>
            <w:r w:rsidRPr="00151D8B">
              <w:rPr>
                <w:rFonts w:ascii="Calibri" w:hAnsi="Calibri" w:cs="Arial"/>
                <w:b/>
                <w:bCs/>
                <w:color w:val="000000"/>
                <w:sz w:val="22"/>
                <w:szCs w:val="22"/>
              </w:rPr>
              <w:t>Description</w:t>
            </w:r>
          </w:p>
        </w:tc>
        <w:tc>
          <w:tcPr>
            <w:tcW w:w="0" w:type="auto"/>
            <w:tcBorders>
              <w:top w:val="single" w:sz="4" w:space="0" w:color="auto"/>
              <w:left w:val="nil"/>
              <w:bottom w:val="single" w:sz="4" w:space="0" w:color="auto"/>
              <w:right w:val="single" w:sz="4" w:space="0" w:color="auto"/>
            </w:tcBorders>
            <w:shd w:val="clear" w:color="auto" w:fill="auto"/>
            <w:hideMark/>
          </w:tcPr>
          <w:p w:rsidR="00151D8B" w:rsidRPr="00151D8B" w:rsidRDefault="00151D8B" w:rsidP="00151D8B">
            <w:pPr>
              <w:jc w:val="center"/>
              <w:rPr>
                <w:rFonts w:ascii="Calibri" w:hAnsi="Calibri" w:cs="Arial"/>
                <w:b/>
                <w:bCs/>
                <w:color w:val="000000"/>
                <w:sz w:val="22"/>
                <w:szCs w:val="22"/>
              </w:rPr>
            </w:pPr>
            <w:r w:rsidRPr="00151D8B">
              <w:rPr>
                <w:rFonts w:ascii="Calibri" w:hAnsi="Calibri" w:cs="Arial"/>
                <w:b/>
                <w:bCs/>
                <w:color w:val="000000"/>
                <w:sz w:val="22"/>
                <w:szCs w:val="22"/>
              </w:rPr>
              <w:t>Cost</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Calibri" w:hAnsi="Calibri" w:cs="Arial"/>
                <w:b/>
                <w:bCs/>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May-17</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Agency</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0"/>
                <w:szCs w:val="20"/>
              </w:rPr>
            </w:pPr>
            <w:r w:rsidRPr="00151D8B">
              <w:rPr>
                <w:rFonts w:ascii="Arial" w:hAnsi="Arial" w:cs="Arial"/>
                <w:color w:val="000000"/>
                <w:sz w:val="20"/>
                <w:szCs w:val="20"/>
              </w:rPr>
              <w:t xml:space="preserve"> Columbia County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2010 Ford Van</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9333B2">
            <w:pPr>
              <w:jc w:val="center"/>
              <w:rPr>
                <w:rFonts w:ascii="Arial" w:hAnsi="Arial" w:cs="Arial"/>
                <w:color w:val="000000"/>
                <w:sz w:val="22"/>
                <w:szCs w:val="22"/>
              </w:rPr>
            </w:pPr>
            <w:r w:rsidRPr="00151D8B">
              <w:rPr>
                <w:rFonts w:ascii="Arial" w:hAnsi="Arial" w:cs="Arial"/>
                <w:color w:val="000000"/>
                <w:sz w:val="22"/>
                <w:szCs w:val="22"/>
              </w:rPr>
              <w:t>$ 5,995</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May-17</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Agency</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 xml:space="preserve"> Central Dodge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2017 Dodge Caravan</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9333B2" w:rsidP="009333B2">
            <w:pPr>
              <w:jc w:val="center"/>
              <w:rPr>
                <w:rFonts w:ascii="Arial" w:hAnsi="Arial" w:cs="Arial"/>
                <w:color w:val="000000"/>
                <w:sz w:val="22"/>
                <w:szCs w:val="22"/>
              </w:rPr>
            </w:pPr>
            <w:r>
              <w:rPr>
                <w:rFonts w:ascii="Arial" w:hAnsi="Arial" w:cs="Arial"/>
                <w:color w:val="000000"/>
                <w:sz w:val="22"/>
                <w:szCs w:val="22"/>
              </w:rPr>
              <w:t>$</w:t>
            </w:r>
            <w:r w:rsidR="00151D8B" w:rsidRPr="00151D8B">
              <w:rPr>
                <w:rFonts w:ascii="Arial" w:hAnsi="Arial" w:cs="Arial"/>
                <w:color w:val="000000"/>
                <w:sz w:val="22"/>
                <w:szCs w:val="22"/>
              </w:rPr>
              <w:t>21,427</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May-17</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Agency</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 xml:space="preserve"> Henderson Ford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2017 Ford Taurus</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9333B2" w:rsidP="009333B2">
            <w:pPr>
              <w:jc w:val="center"/>
              <w:rPr>
                <w:rFonts w:ascii="Arial" w:hAnsi="Arial" w:cs="Arial"/>
                <w:color w:val="000000"/>
                <w:sz w:val="22"/>
                <w:szCs w:val="22"/>
              </w:rPr>
            </w:pPr>
            <w:r>
              <w:rPr>
                <w:rFonts w:ascii="Arial" w:hAnsi="Arial" w:cs="Arial"/>
                <w:color w:val="000000"/>
                <w:sz w:val="22"/>
                <w:szCs w:val="22"/>
              </w:rPr>
              <w:t>$</w:t>
            </w:r>
            <w:r w:rsidR="00151D8B" w:rsidRPr="00151D8B">
              <w:rPr>
                <w:rFonts w:ascii="Arial" w:hAnsi="Arial" w:cs="Arial"/>
                <w:color w:val="000000"/>
                <w:sz w:val="22"/>
                <w:szCs w:val="22"/>
              </w:rPr>
              <w:t>21,625</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Total</w:t>
            </w:r>
          </w:p>
        </w:tc>
        <w:tc>
          <w:tcPr>
            <w:tcW w:w="0" w:type="auto"/>
            <w:tcBorders>
              <w:top w:val="nil"/>
              <w:left w:val="single" w:sz="4" w:space="0" w:color="auto"/>
              <w:bottom w:val="single" w:sz="4" w:space="0" w:color="auto"/>
              <w:right w:val="single" w:sz="4" w:space="0" w:color="auto"/>
            </w:tcBorders>
            <w:shd w:val="clear" w:color="auto" w:fill="auto"/>
            <w:hideMark/>
          </w:tcPr>
          <w:p w:rsidR="00151D8B" w:rsidRPr="00151D8B" w:rsidRDefault="00151D8B" w:rsidP="009333B2">
            <w:pPr>
              <w:jc w:val="center"/>
              <w:rPr>
                <w:rFonts w:ascii="Arial" w:hAnsi="Arial" w:cs="Arial"/>
                <w:color w:val="000000"/>
                <w:sz w:val="22"/>
                <w:szCs w:val="22"/>
              </w:rPr>
            </w:pPr>
            <w:r w:rsidRPr="00151D8B">
              <w:rPr>
                <w:rFonts w:ascii="Arial" w:hAnsi="Arial" w:cs="Arial"/>
                <w:color w:val="000000"/>
                <w:sz w:val="22"/>
                <w:szCs w:val="22"/>
              </w:rPr>
              <w:t>$</w:t>
            </w:r>
            <w:r w:rsidR="009333B2">
              <w:rPr>
                <w:rFonts w:ascii="Arial" w:hAnsi="Arial" w:cs="Arial"/>
                <w:color w:val="000000"/>
                <w:sz w:val="22"/>
                <w:szCs w:val="22"/>
              </w:rPr>
              <w:t>4</w:t>
            </w:r>
            <w:r w:rsidRPr="00151D8B">
              <w:rPr>
                <w:rFonts w:ascii="Arial" w:hAnsi="Arial" w:cs="Arial"/>
                <w:color w:val="000000"/>
                <w:sz w:val="22"/>
                <w:szCs w:val="22"/>
              </w:rPr>
              <w:t>9,047</w:t>
            </w:r>
          </w:p>
        </w:tc>
        <w:tc>
          <w:tcPr>
            <w:tcW w:w="0" w:type="auto"/>
            <w:tcBorders>
              <w:top w:val="nil"/>
              <w:left w:val="nil"/>
              <w:bottom w:val="nil"/>
              <w:right w:val="nil"/>
            </w:tcBorders>
            <w:shd w:val="clear" w:color="auto" w:fill="auto"/>
            <w:hideMark/>
          </w:tcPr>
          <w:p w:rsidR="00151D8B" w:rsidRPr="00151D8B" w:rsidRDefault="00151D8B" w:rsidP="00151D8B">
            <w:pP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jc w:val="right"/>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b/>
                <w:bCs/>
                <w:color w:val="000000"/>
                <w:sz w:val="22"/>
                <w:szCs w:val="22"/>
              </w:rPr>
            </w:pPr>
            <w:r w:rsidRPr="00151D8B">
              <w:rPr>
                <w:rFonts w:ascii="Arial" w:hAnsi="Arial" w:cs="Arial"/>
                <w:b/>
                <w:bCs/>
                <w:color w:val="000000"/>
                <w:sz w:val="22"/>
                <w:szCs w:val="22"/>
              </w:rPr>
              <w:t>Sold in Month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b/>
                <w:bCs/>
                <w:color w:val="000000"/>
                <w:sz w:val="22"/>
                <w:szCs w:val="22"/>
              </w:rPr>
            </w:pPr>
            <w:r w:rsidRPr="00151D8B">
              <w:rPr>
                <w:rFonts w:ascii="Arial" w:hAnsi="Arial" w:cs="Arial"/>
                <w:b/>
                <w:bCs/>
                <w:color w:val="000000"/>
                <w:sz w:val="22"/>
                <w:szCs w:val="22"/>
              </w:rPr>
              <w:t>Sold thru</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b/>
                <w:bCs/>
                <w:color w:val="000000"/>
                <w:sz w:val="22"/>
                <w:szCs w:val="22"/>
              </w:rPr>
            </w:pPr>
            <w:r w:rsidRPr="00151D8B">
              <w:rPr>
                <w:rFonts w:ascii="Arial" w:hAnsi="Arial" w:cs="Arial"/>
                <w:b/>
                <w:bCs/>
                <w:color w:val="000000"/>
                <w:sz w:val="22"/>
                <w:szCs w:val="22"/>
              </w:rPr>
              <w:t xml:space="preserve"> Mileage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151D8B" w:rsidRPr="00151D8B" w:rsidRDefault="00151D8B" w:rsidP="00151D8B">
            <w:pPr>
              <w:jc w:val="center"/>
              <w:rPr>
                <w:rFonts w:ascii="Arial" w:hAnsi="Arial" w:cs="Arial"/>
                <w:b/>
                <w:bCs/>
                <w:color w:val="000000"/>
                <w:sz w:val="22"/>
                <w:szCs w:val="22"/>
              </w:rPr>
            </w:pPr>
            <w:r w:rsidRPr="00151D8B">
              <w:rPr>
                <w:rFonts w:ascii="Arial" w:hAnsi="Arial" w:cs="Arial"/>
                <w:b/>
                <w:bCs/>
                <w:color w:val="000000"/>
                <w:sz w:val="22"/>
                <w:szCs w:val="22"/>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b/>
                <w:bCs/>
                <w:color w:val="000000"/>
                <w:sz w:val="22"/>
                <w:szCs w:val="22"/>
              </w:rPr>
            </w:pPr>
            <w:r w:rsidRPr="00151D8B">
              <w:rPr>
                <w:rFonts w:ascii="Arial" w:hAnsi="Arial" w:cs="Arial"/>
                <w:b/>
                <w:bCs/>
                <w:color w:val="000000"/>
                <w:sz w:val="22"/>
                <w:szCs w:val="22"/>
              </w:rPr>
              <w:t xml:space="preserve"> Revenue </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b/>
                <w:bCs/>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Jul-17</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16"/>
                <w:szCs w:val="16"/>
              </w:rPr>
            </w:pPr>
            <w:r w:rsidRPr="00151D8B">
              <w:rPr>
                <w:rFonts w:ascii="Arial" w:hAnsi="Arial" w:cs="Arial"/>
                <w:color w:val="000000"/>
                <w:sz w:val="16"/>
                <w:szCs w:val="16"/>
              </w:rPr>
              <w:t>Auctions International</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 xml:space="preserve"> 144.9K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 xml:space="preserve">2010 Chevy Impala </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9333B2" w:rsidP="009333B2">
            <w:pPr>
              <w:jc w:val="center"/>
              <w:rPr>
                <w:rFonts w:ascii="Arial" w:hAnsi="Arial" w:cs="Arial"/>
                <w:color w:val="000000"/>
                <w:sz w:val="22"/>
                <w:szCs w:val="22"/>
              </w:rPr>
            </w:pPr>
            <w:r>
              <w:rPr>
                <w:rFonts w:ascii="Arial" w:hAnsi="Arial" w:cs="Arial"/>
                <w:color w:val="000000"/>
                <w:sz w:val="22"/>
                <w:szCs w:val="22"/>
              </w:rPr>
              <w:t>$</w:t>
            </w:r>
            <w:r w:rsidR="00151D8B" w:rsidRPr="00151D8B">
              <w:rPr>
                <w:rFonts w:ascii="Arial" w:hAnsi="Arial" w:cs="Arial"/>
                <w:color w:val="000000"/>
                <w:sz w:val="22"/>
                <w:szCs w:val="22"/>
              </w:rPr>
              <w:t>1,825</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Aug-17</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16"/>
                <w:szCs w:val="16"/>
              </w:rPr>
            </w:pPr>
            <w:r w:rsidRPr="00151D8B">
              <w:rPr>
                <w:rFonts w:ascii="Arial" w:hAnsi="Arial" w:cs="Arial"/>
                <w:color w:val="000000"/>
                <w:sz w:val="16"/>
                <w:szCs w:val="16"/>
              </w:rPr>
              <w:t>Auctions International</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 xml:space="preserve"> 158.3K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2010 Dodge Caravan</w:t>
            </w:r>
          </w:p>
        </w:tc>
        <w:tc>
          <w:tcPr>
            <w:tcW w:w="0" w:type="auto"/>
            <w:tcBorders>
              <w:top w:val="nil"/>
              <w:left w:val="nil"/>
              <w:bottom w:val="single" w:sz="4" w:space="0" w:color="auto"/>
              <w:right w:val="single" w:sz="4" w:space="0" w:color="auto"/>
            </w:tcBorders>
            <w:shd w:val="clear" w:color="auto" w:fill="auto"/>
            <w:vAlign w:val="center"/>
            <w:hideMark/>
          </w:tcPr>
          <w:p w:rsidR="00151D8B" w:rsidRPr="00151D8B" w:rsidRDefault="009333B2" w:rsidP="009333B2">
            <w:pPr>
              <w:jc w:val="center"/>
              <w:rPr>
                <w:rFonts w:ascii="Arial" w:hAnsi="Arial" w:cs="Arial"/>
                <w:color w:val="000000"/>
                <w:sz w:val="22"/>
                <w:szCs w:val="22"/>
              </w:rPr>
            </w:pPr>
            <w:r>
              <w:rPr>
                <w:rFonts w:ascii="Arial" w:hAnsi="Arial" w:cs="Arial"/>
                <w:color w:val="000000"/>
                <w:sz w:val="22"/>
                <w:szCs w:val="22"/>
              </w:rPr>
              <w:t>$</w:t>
            </w:r>
            <w:r w:rsidR="00151D8B" w:rsidRPr="00151D8B">
              <w:rPr>
                <w:rFonts w:ascii="Arial" w:hAnsi="Arial" w:cs="Arial"/>
                <w:color w:val="000000"/>
                <w:sz w:val="22"/>
                <w:szCs w:val="22"/>
              </w:rPr>
              <w:t>3,350</w:t>
            </w:r>
          </w:p>
        </w:tc>
        <w:tc>
          <w:tcPr>
            <w:tcW w:w="0" w:type="auto"/>
            <w:tcBorders>
              <w:top w:val="nil"/>
              <w:left w:val="nil"/>
              <w:bottom w:val="nil"/>
              <w:right w:val="nil"/>
            </w:tcBorders>
            <w:shd w:val="clear" w:color="auto" w:fill="auto"/>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00"/>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jc w:val="right"/>
              <w:rPr>
                <w:rFonts w:ascii="Arial" w:hAnsi="Arial" w:cs="Arial"/>
                <w:color w:val="000000"/>
                <w:sz w:val="22"/>
                <w:szCs w:val="22"/>
              </w:rPr>
            </w:pPr>
            <w:r w:rsidRPr="00151D8B">
              <w:rPr>
                <w:rFonts w:ascii="Arial" w:hAnsi="Arial" w:cs="Arial"/>
                <w:color w:val="000000"/>
                <w:sz w:val="22"/>
                <w:szCs w:val="22"/>
              </w:rPr>
              <w:t>Total</w:t>
            </w:r>
          </w:p>
        </w:tc>
        <w:tc>
          <w:tcPr>
            <w:tcW w:w="0" w:type="auto"/>
            <w:tcBorders>
              <w:top w:val="nil"/>
              <w:left w:val="single" w:sz="4" w:space="0" w:color="auto"/>
              <w:bottom w:val="single" w:sz="4" w:space="0" w:color="auto"/>
              <w:right w:val="single" w:sz="4" w:space="0" w:color="auto"/>
            </w:tcBorders>
            <w:shd w:val="clear" w:color="auto" w:fill="auto"/>
            <w:hideMark/>
          </w:tcPr>
          <w:p w:rsidR="00151D8B" w:rsidRPr="00151D8B" w:rsidRDefault="00151D8B" w:rsidP="009333B2">
            <w:pPr>
              <w:jc w:val="center"/>
              <w:rPr>
                <w:rFonts w:ascii="Arial" w:hAnsi="Arial" w:cs="Arial"/>
                <w:color w:val="000000"/>
                <w:sz w:val="22"/>
                <w:szCs w:val="22"/>
              </w:rPr>
            </w:pPr>
            <w:r w:rsidRPr="00151D8B">
              <w:rPr>
                <w:rFonts w:ascii="Arial" w:hAnsi="Arial" w:cs="Arial"/>
                <w:color w:val="000000"/>
                <w:sz w:val="22"/>
                <w:szCs w:val="22"/>
              </w:rPr>
              <w:t>$5,175</w:t>
            </w:r>
          </w:p>
        </w:tc>
        <w:tc>
          <w:tcPr>
            <w:tcW w:w="0" w:type="auto"/>
            <w:tcBorders>
              <w:top w:val="nil"/>
              <w:left w:val="nil"/>
              <w:bottom w:val="nil"/>
              <w:right w:val="nil"/>
            </w:tcBorders>
            <w:shd w:val="clear" w:color="auto" w:fill="auto"/>
            <w:hideMark/>
          </w:tcPr>
          <w:p w:rsidR="00151D8B" w:rsidRPr="00151D8B" w:rsidRDefault="00151D8B" w:rsidP="00151D8B">
            <w:pPr>
              <w:rPr>
                <w:rFonts w:ascii="Arial" w:hAnsi="Arial" w:cs="Arial"/>
                <w:color w:val="000000"/>
                <w:sz w:val="22"/>
                <w:szCs w:val="22"/>
              </w:rPr>
            </w:pPr>
          </w:p>
        </w:tc>
      </w:tr>
      <w:tr w:rsidR="009333B2" w:rsidRPr="00151D8B" w:rsidTr="00D01490">
        <w:trPr>
          <w:trHeight w:val="225"/>
        </w:trPr>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hideMark/>
          </w:tcPr>
          <w:p w:rsidR="00151D8B" w:rsidRPr="00151D8B" w:rsidRDefault="00151D8B" w:rsidP="00151D8B">
            <w:pPr>
              <w:rPr>
                <w:sz w:val="20"/>
                <w:szCs w:val="20"/>
              </w:rPr>
            </w:pPr>
          </w:p>
        </w:tc>
      </w:tr>
      <w:tr w:rsidR="00151D8B" w:rsidRPr="00151D8B" w:rsidTr="00D01490">
        <w:trPr>
          <w:trHeight w:val="750"/>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b/>
                <w:bCs/>
                <w:color w:val="000000"/>
              </w:rPr>
              <w:t xml:space="preserve">Accounts Payable - </w:t>
            </w:r>
            <w:r w:rsidRPr="00151D8B">
              <w:rPr>
                <w:rFonts w:ascii="Calibri" w:hAnsi="Calibri" w:cs="Arial"/>
                <w:color w:val="000000"/>
              </w:rPr>
              <w:t xml:space="preserve">At August 31, 2017, accounts payable lability is $32,599 and all AP liability is being paid timely within 28 days except CSP Clinical Services which gets paid once NYS pays CCCHC. The following is a list of vendors who's liability exceed $1,000. </w:t>
            </w:r>
          </w:p>
        </w:tc>
      </w:tr>
      <w:tr w:rsidR="00D01490"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rFonts w:ascii="Wingdings" w:hAnsi="Wingdings" w:cs="Arial"/>
                <w:color w:val="00000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Pinckney Hugo Group</w:t>
            </w:r>
          </w:p>
        </w:tc>
        <w:tc>
          <w:tcPr>
            <w:tcW w:w="0" w:type="auto"/>
            <w:tcBorders>
              <w:top w:val="nil"/>
              <w:left w:val="nil"/>
              <w:bottom w:val="nil"/>
              <w:right w:val="nil"/>
            </w:tcBorders>
            <w:shd w:val="clear" w:color="auto" w:fill="auto"/>
            <w:vAlign w:val="center"/>
            <w:hideMark/>
          </w:tcPr>
          <w:p w:rsidR="00151D8B" w:rsidRPr="00151D8B" w:rsidRDefault="00151D8B" w:rsidP="009333B2">
            <w:pPr>
              <w:jc w:val="right"/>
              <w:rPr>
                <w:color w:val="000000"/>
              </w:rPr>
            </w:pPr>
            <w:r w:rsidRPr="00151D8B">
              <w:rPr>
                <w:color w:val="000000"/>
              </w:rPr>
              <w:t xml:space="preserve"> $10,000 </w:t>
            </w:r>
          </w:p>
        </w:tc>
        <w:tc>
          <w:tcPr>
            <w:tcW w:w="0" w:type="auto"/>
            <w:gridSpan w:val="2"/>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Tobacco-No Smoking Advertise</w:t>
            </w: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rFonts w:ascii="Arial" w:hAnsi="Arial" w:cs="Arial"/>
                <w:color w:val="000000"/>
                <w:sz w:val="22"/>
                <w:szCs w:val="22"/>
              </w:rPr>
            </w:pPr>
          </w:p>
        </w:tc>
      </w:tr>
      <w:tr w:rsidR="00D01490"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American Lung Association</w:t>
            </w:r>
          </w:p>
        </w:tc>
        <w:tc>
          <w:tcPr>
            <w:tcW w:w="0" w:type="auto"/>
            <w:tcBorders>
              <w:top w:val="nil"/>
              <w:left w:val="nil"/>
              <w:bottom w:val="nil"/>
              <w:right w:val="nil"/>
            </w:tcBorders>
            <w:shd w:val="clear" w:color="auto" w:fill="auto"/>
            <w:vAlign w:val="center"/>
            <w:hideMark/>
          </w:tcPr>
          <w:p w:rsidR="00151D8B" w:rsidRPr="00151D8B" w:rsidRDefault="00151D8B" w:rsidP="00151D8B">
            <w:pPr>
              <w:jc w:val="right"/>
              <w:rPr>
                <w:color w:val="000000"/>
              </w:rPr>
            </w:pPr>
            <w:r w:rsidRPr="00151D8B">
              <w:rPr>
                <w:color w:val="000000"/>
              </w:rPr>
              <w:t xml:space="preserve">                  7,975 </w:t>
            </w:r>
          </w:p>
        </w:tc>
        <w:tc>
          <w:tcPr>
            <w:tcW w:w="0" w:type="auto"/>
            <w:gridSpan w:val="2"/>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Tobacco-Statewide Advertise</w:t>
            </w: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rFonts w:ascii="Arial" w:hAnsi="Arial" w:cs="Arial"/>
                <w:color w:val="000000"/>
                <w:sz w:val="22"/>
                <w:szCs w:val="22"/>
              </w:rPr>
            </w:pPr>
          </w:p>
        </w:tc>
      </w:tr>
      <w:tr w:rsidR="00D01490"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Columbia County</w:t>
            </w:r>
          </w:p>
        </w:tc>
        <w:tc>
          <w:tcPr>
            <w:tcW w:w="0" w:type="auto"/>
            <w:tcBorders>
              <w:top w:val="nil"/>
              <w:left w:val="nil"/>
              <w:bottom w:val="nil"/>
              <w:right w:val="nil"/>
            </w:tcBorders>
            <w:shd w:val="clear" w:color="auto" w:fill="auto"/>
            <w:vAlign w:val="center"/>
            <w:hideMark/>
          </w:tcPr>
          <w:p w:rsidR="00151D8B" w:rsidRPr="00151D8B" w:rsidRDefault="00151D8B" w:rsidP="00151D8B">
            <w:pPr>
              <w:jc w:val="right"/>
              <w:rPr>
                <w:color w:val="000000"/>
              </w:rPr>
            </w:pPr>
            <w:r w:rsidRPr="00151D8B">
              <w:rPr>
                <w:color w:val="000000"/>
              </w:rPr>
              <w:t xml:space="preserve">                  2,689 </w:t>
            </w:r>
          </w:p>
        </w:tc>
        <w:tc>
          <w:tcPr>
            <w:tcW w:w="0" w:type="auto"/>
            <w:gridSpan w:val="2"/>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Vehicle Fuel &amp; Repairs</w:t>
            </w: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rFonts w:ascii="Arial" w:hAnsi="Arial" w:cs="Arial"/>
                <w:color w:val="000000"/>
                <w:sz w:val="22"/>
                <w:szCs w:val="22"/>
              </w:rPr>
            </w:pPr>
          </w:p>
        </w:tc>
      </w:tr>
      <w:tr w:rsidR="00D01490"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Johnny's Ideal Printing</w:t>
            </w:r>
          </w:p>
        </w:tc>
        <w:tc>
          <w:tcPr>
            <w:tcW w:w="0" w:type="auto"/>
            <w:tcBorders>
              <w:top w:val="nil"/>
              <w:left w:val="nil"/>
              <w:bottom w:val="nil"/>
              <w:right w:val="nil"/>
            </w:tcBorders>
            <w:shd w:val="clear" w:color="auto" w:fill="auto"/>
            <w:vAlign w:val="center"/>
            <w:hideMark/>
          </w:tcPr>
          <w:p w:rsidR="00151D8B" w:rsidRPr="00151D8B" w:rsidRDefault="00151D8B" w:rsidP="00151D8B">
            <w:pPr>
              <w:jc w:val="right"/>
              <w:rPr>
                <w:color w:val="000000"/>
              </w:rPr>
            </w:pPr>
            <w:r w:rsidRPr="00151D8B">
              <w:rPr>
                <w:color w:val="000000"/>
              </w:rPr>
              <w:t xml:space="preserve">                  1,151 </w:t>
            </w:r>
          </w:p>
        </w:tc>
        <w:tc>
          <w:tcPr>
            <w:tcW w:w="0" w:type="auto"/>
            <w:gridSpan w:val="2"/>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NY Connects - Printing</w:t>
            </w: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rFonts w:ascii="Arial" w:hAnsi="Arial" w:cs="Arial"/>
                <w:color w:val="000000"/>
                <w:sz w:val="22"/>
                <w:szCs w:val="22"/>
              </w:rPr>
            </w:pPr>
          </w:p>
        </w:tc>
      </w:tr>
      <w:tr w:rsidR="00D01490"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noWrap/>
            <w:vAlign w:val="bottom"/>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Various Medical Providers</w:t>
            </w:r>
          </w:p>
        </w:tc>
        <w:tc>
          <w:tcPr>
            <w:tcW w:w="0" w:type="auto"/>
            <w:tcBorders>
              <w:top w:val="nil"/>
              <w:left w:val="nil"/>
              <w:bottom w:val="nil"/>
              <w:right w:val="nil"/>
            </w:tcBorders>
            <w:shd w:val="clear" w:color="auto" w:fill="auto"/>
            <w:vAlign w:val="center"/>
            <w:hideMark/>
          </w:tcPr>
          <w:p w:rsidR="00151D8B" w:rsidRPr="00151D8B" w:rsidRDefault="00151D8B" w:rsidP="00151D8B">
            <w:pPr>
              <w:jc w:val="right"/>
              <w:rPr>
                <w:color w:val="000000"/>
              </w:rPr>
            </w:pPr>
            <w:r w:rsidRPr="00151D8B">
              <w:rPr>
                <w:color w:val="000000"/>
              </w:rPr>
              <w:t xml:space="preserve">                  4,066 </w:t>
            </w:r>
          </w:p>
        </w:tc>
        <w:tc>
          <w:tcPr>
            <w:tcW w:w="0" w:type="auto"/>
            <w:gridSpan w:val="2"/>
            <w:tcBorders>
              <w:top w:val="nil"/>
              <w:left w:val="nil"/>
              <w:bottom w:val="nil"/>
              <w:right w:val="nil"/>
            </w:tcBorders>
            <w:shd w:val="clear" w:color="auto" w:fill="auto"/>
            <w:noWrap/>
            <w:vAlign w:val="bottom"/>
            <w:hideMark/>
          </w:tcPr>
          <w:p w:rsidR="00151D8B" w:rsidRPr="00151D8B" w:rsidRDefault="00151D8B" w:rsidP="00151D8B">
            <w:pPr>
              <w:jc w:val="center"/>
              <w:rPr>
                <w:rFonts w:ascii="Arial" w:hAnsi="Arial" w:cs="Arial"/>
                <w:color w:val="000000"/>
                <w:sz w:val="22"/>
                <w:szCs w:val="22"/>
              </w:rPr>
            </w:pPr>
            <w:r w:rsidRPr="00151D8B">
              <w:rPr>
                <w:rFonts w:ascii="Arial" w:hAnsi="Arial" w:cs="Arial"/>
                <w:color w:val="000000"/>
                <w:sz w:val="22"/>
                <w:szCs w:val="22"/>
              </w:rPr>
              <w:t>CSP Clinical Services</w:t>
            </w: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rFonts w:ascii="Arial" w:hAnsi="Arial" w:cs="Arial"/>
                <w:color w:val="000000"/>
                <w:sz w:val="22"/>
                <w:szCs w:val="22"/>
              </w:rPr>
            </w:pPr>
          </w:p>
        </w:tc>
      </w:tr>
      <w:tr w:rsidR="009333B2" w:rsidRPr="00151D8B" w:rsidTr="00D01490">
        <w:trPr>
          <w:trHeight w:val="330"/>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gridSpan w:val="2"/>
            <w:tcBorders>
              <w:top w:val="nil"/>
              <w:left w:val="nil"/>
              <w:bottom w:val="nil"/>
              <w:right w:val="nil"/>
            </w:tcBorders>
            <w:shd w:val="clear" w:color="auto" w:fill="auto"/>
            <w:vAlign w:val="center"/>
            <w:hideMark/>
          </w:tcPr>
          <w:p w:rsidR="00151D8B" w:rsidRPr="00151D8B" w:rsidRDefault="00151D8B" w:rsidP="00151D8B">
            <w:pPr>
              <w:jc w:val="center"/>
              <w:rPr>
                <w:color w:val="000000"/>
              </w:rPr>
            </w:pPr>
            <w:r w:rsidRPr="00151D8B">
              <w:rPr>
                <w:color w:val="000000"/>
              </w:rPr>
              <w:t xml:space="preserve"> Total AP from Above </w:t>
            </w:r>
          </w:p>
        </w:tc>
        <w:tc>
          <w:tcPr>
            <w:tcW w:w="0" w:type="auto"/>
            <w:tcBorders>
              <w:top w:val="single" w:sz="4" w:space="0" w:color="auto"/>
              <w:left w:val="nil"/>
              <w:bottom w:val="double" w:sz="6" w:space="0" w:color="auto"/>
              <w:right w:val="nil"/>
            </w:tcBorders>
            <w:shd w:val="clear" w:color="auto" w:fill="auto"/>
            <w:vAlign w:val="center"/>
            <w:hideMark/>
          </w:tcPr>
          <w:p w:rsidR="00151D8B" w:rsidRPr="00151D8B" w:rsidRDefault="00151D8B" w:rsidP="009333B2">
            <w:pPr>
              <w:rPr>
                <w:color w:val="000000"/>
              </w:rPr>
            </w:pPr>
            <w:r w:rsidRPr="00151D8B">
              <w:rPr>
                <w:color w:val="000000"/>
              </w:rPr>
              <w:t xml:space="preserve"> </w:t>
            </w:r>
            <w:r w:rsidR="009333B2">
              <w:rPr>
                <w:color w:val="000000"/>
              </w:rPr>
              <w:t xml:space="preserve">   </w:t>
            </w:r>
            <w:r w:rsidRPr="00151D8B">
              <w:rPr>
                <w:color w:val="000000"/>
              </w:rPr>
              <w:t xml:space="preserve">$25,880 </w:t>
            </w:r>
          </w:p>
        </w:tc>
        <w:tc>
          <w:tcPr>
            <w:tcW w:w="0" w:type="auto"/>
            <w:tcBorders>
              <w:top w:val="nil"/>
              <w:left w:val="nil"/>
              <w:bottom w:val="nil"/>
              <w:right w:val="nil"/>
            </w:tcBorders>
            <w:shd w:val="clear" w:color="auto" w:fill="auto"/>
            <w:vAlign w:val="center"/>
            <w:hideMark/>
          </w:tcPr>
          <w:p w:rsidR="00151D8B" w:rsidRPr="00151D8B" w:rsidRDefault="00151D8B" w:rsidP="00151D8B">
            <w:pPr>
              <w:rPr>
                <w:color w:val="00000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r>
      <w:tr w:rsidR="009333B2" w:rsidRPr="00151D8B" w:rsidTr="00D01490">
        <w:trPr>
          <w:trHeight w:val="330"/>
        </w:trPr>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r>
      <w:tr w:rsidR="00151D8B" w:rsidRPr="00151D8B" w:rsidTr="00D01490">
        <w:trPr>
          <w:trHeight w:val="660"/>
        </w:trPr>
        <w:tc>
          <w:tcPr>
            <w:tcW w:w="0" w:type="auto"/>
            <w:gridSpan w:val="8"/>
            <w:tcBorders>
              <w:top w:val="nil"/>
              <w:left w:val="nil"/>
              <w:bottom w:val="nil"/>
              <w:right w:val="nil"/>
            </w:tcBorders>
            <w:shd w:val="clear" w:color="auto" w:fill="auto"/>
            <w:vAlign w:val="bottom"/>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color w:val="000000"/>
              </w:rPr>
              <w:t xml:space="preserve"> </w:t>
            </w:r>
            <w:r w:rsidRPr="00151D8B">
              <w:rPr>
                <w:b/>
                <w:bCs/>
                <w:color w:val="000000"/>
              </w:rPr>
              <w:t>Line of Credit</w:t>
            </w:r>
            <w:r w:rsidRPr="00151D8B">
              <w:rPr>
                <w:rFonts w:ascii="Calibri" w:hAnsi="Calibri" w:cs="Arial"/>
                <w:color w:val="000000"/>
              </w:rPr>
              <w:t xml:space="preserve"> - Received notification from The Bank of Greene County. Bank renewed our $100,000 line for another twelve months until August 1, 2018.</w:t>
            </w:r>
          </w:p>
        </w:tc>
      </w:tr>
      <w:tr w:rsidR="009333B2" w:rsidRPr="00151D8B" w:rsidTr="00D01490">
        <w:trPr>
          <w:trHeight w:val="315"/>
        </w:trPr>
        <w:tc>
          <w:tcPr>
            <w:tcW w:w="0" w:type="auto"/>
            <w:tcBorders>
              <w:top w:val="nil"/>
              <w:left w:val="nil"/>
              <w:bottom w:val="nil"/>
              <w:right w:val="nil"/>
            </w:tcBorders>
            <w:shd w:val="clear" w:color="auto" w:fill="auto"/>
            <w:vAlign w:val="center"/>
            <w:hideMark/>
          </w:tcPr>
          <w:p w:rsidR="00151D8B" w:rsidRPr="00151D8B" w:rsidRDefault="00151D8B" w:rsidP="00151D8B">
            <w:pPr>
              <w:rPr>
                <w:rFonts w:ascii="Wingdings" w:hAnsi="Wingdings" w:cs="Arial"/>
                <w:color w:val="00000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c>
          <w:tcPr>
            <w:tcW w:w="0" w:type="auto"/>
            <w:tcBorders>
              <w:top w:val="nil"/>
              <w:left w:val="nil"/>
              <w:bottom w:val="nil"/>
              <w:right w:val="nil"/>
            </w:tcBorders>
            <w:shd w:val="clear" w:color="auto" w:fill="auto"/>
            <w:vAlign w:val="center"/>
            <w:hideMark/>
          </w:tcPr>
          <w:p w:rsidR="00151D8B" w:rsidRPr="00151D8B" w:rsidRDefault="00151D8B" w:rsidP="00151D8B">
            <w:pPr>
              <w:rPr>
                <w:sz w:val="20"/>
                <w:szCs w:val="20"/>
              </w:rPr>
            </w:pPr>
          </w:p>
        </w:tc>
      </w:tr>
      <w:tr w:rsidR="00151D8B" w:rsidRPr="00151D8B" w:rsidTr="00D01490">
        <w:trPr>
          <w:trHeight w:val="1950"/>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color w:val="000000"/>
              </w:rPr>
              <w:t xml:space="preserve"> </w:t>
            </w:r>
            <w:r w:rsidRPr="00151D8B">
              <w:rPr>
                <w:rFonts w:ascii="Calibri" w:hAnsi="Calibri" w:cs="Arial"/>
                <w:b/>
                <w:bCs/>
                <w:color w:val="000000"/>
              </w:rPr>
              <w:t>Advance Funding Payable</w:t>
            </w:r>
            <w:r w:rsidRPr="00151D8B">
              <w:rPr>
                <w:rFonts w:ascii="Calibri" w:hAnsi="Calibri" w:cs="Arial"/>
                <w:color w:val="000000"/>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August 31, 2017,</w:t>
            </w:r>
          </w:p>
        </w:tc>
      </w:tr>
      <w:tr w:rsidR="009333B2" w:rsidRPr="00151D8B" w:rsidTr="00D01490">
        <w:trPr>
          <w:trHeight w:val="945"/>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rPr>
                <w:rFonts w:ascii="Wingdings" w:hAnsi="Wingdings" w:cs="Arial"/>
                <w:color w:val="000000"/>
              </w:rPr>
            </w:pPr>
          </w:p>
        </w:tc>
        <w:tc>
          <w:tcPr>
            <w:tcW w:w="0" w:type="auto"/>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Fund Name</w:t>
            </w:r>
          </w:p>
        </w:tc>
        <w:tc>
          <w:tcPr>
            <w:tcW w:w="0" w:type="auto"/>
            <w:tcBorders>
              <w:top w:val="single" w:sz="4" w:space="0" w:color="auto"/>
              <w:left w:val="single" w:sz="6" w:space="0" w:color="auto"/>
              <w:bottom w:val="single" w:sz="4" w:space="0" w:color="auto"/>
              <w:right w:val="single" w:sz="6"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 xml:space="preserve">Beginning Balance at January 1st </w:t>
            </w:r>
          </w:p>
        </w:tc>
        <w:tc>
          <w:tcPr>
            <w:tcW w:w="0" w:type="auto"/>
            <w:tcBorders>
              <w:top w:val="single" w:sz="4" w:space="0" w:color="auto"/>
              <w:left w:val="single" w:sz="6" w:space="0" w:color="auto"/>
              <w:bottom w:val="single" w:sz="4" w:space="0" w:color="auto"/>
              <w:right w:val="single" w:sz="6"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 Contributions</w:t>
            </w:r>
          </w:p>
        </w:tc>
        <w:tc>
          <w:tcPr>
            <w:tcW w:w="0" w:type="auto"/>
            <w:tcBorders>
              <w:top w:val="single" w:sz="4" w:space="0" w:color="auto"/>
              <w:left w:val="single" w:sz="6" w:space="0" w:color="auto"/>
              <w:bottom w:val="single" w:sz="4" w:space="0" w:color="auto"/>
              <w:right w:val="single" w:sz="6"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&lt;Distributions&gt;</w:t>
            </w:r>
          </w:p>
        </w:tc>
        <w:tc>
          <w:tcPr>
            <w:tcW w:w="0" w:type="auto"/>
            <w:tcBorders>
              <w:top w:val="single" w:sz="4" w:space="0" w:color="auto"/>
              <w:left w:val="single" w:sz="6"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Ending Balance at August 31, 2017</w:t>
            </w:r>
          </w:p>
        </w:tc>
        <w:tc>
          <w:tcPr>
            <w:tcW w:w="0" w:type="auto"/>
            <w:tcBorders>
              <w:top w:val="nil"/>
              <w:left w:val="single" w:sz="4" w:space="0" w:color="auto"/>
              <w:right w:val="nil"/>
            </w:tcBorders>
            <w:shd w:val="clear" w:color="auto" w:fill="auto"/>
            <w:vAlign w:val="center"/>
            <w:hideMark/>
          </w:tcPr>
          <w:p w:rsidR="00151D8B" w:rsidRPr="00151D8B" w:rsidRDefault="00151D8B" w:rsidP="00151D8B">
            <w:pPr>
              <w:jc w:val="center"/>
              <w:rPr>
                <w:b/>
                <w:bCs/>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9333B2" w:rsidRPr="00151D8B" w:rsidRDefault="009333B2"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3B2" w:rsidRPr="00151D8B" w:rsidRDefault="009333B2" w:rsidP="009333B2">
            <w:pPr>
              <w:rPr>
                <w:b/>
                <w:bCs/>
                <w:color w:val="000000"/>
              </w:rPr>
            </w:pPr>
            <w:r w:rsidRPr="00151D8B">
              <w:rPr>
                <w:b/>
                <w:bCs/>
                <w:color w:val="000000"/>
              </w:rPr>
              <w:t>Foundation for Community Health</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9333B2" w:rsidRPr="00151D8B" w:rsidRDefault="009333B2" w:rsidP="009333B2">
            <w:pPr>
              <w:jc w:val="center"/>
              <w:rPr>
                <w:sz w:val="20"/>
                <w:szCs w:val="20"/>
              </w:rPr>
            </w:pPr>
          </w:p>
        </w:tc>
        <w:tc>
          <w:tcPr>
            <w:tcW w:w="0" w:type="auto"/>
            <w:tcBorders>
              <w:left w:val="single" w:sz="4" w:space="0" w:color="auto"/>
            </w:tcBorders>
            <w:shd w:val="clear" w:color="auto" w:fill="auto"/>
            <w:vAlign w:val="center"/>
            <w:hideMark/>
          </w:tcPr>
          <w:p w:rsidR="009333B2" w:rsidRPr="00151D8B" w:rsidRDefault="009333B2" w:rsidP="009333B2">
            <w:pPr>
              <w:jc w:val="center"/>
              <w:rPr>
                <w:sz w:val="20"/>
                <w:szCs w:val="2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Prescription Rx Access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12,113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(2,299)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9,814</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Transp</w:t>
            </w:r>
            <w:r w:rsidR="009333B2">
              <w:rPr>
                <w:color w:val="000000"/>
              </w:rPr>
              <w:t>.:</w:t>
            </w:r>
            <w:r w:rsidRPr="00151D8B">
              <w:rPr>
                <w:color w:val="000000"/>
              </w:rPr>
              <w:t>Acram/Copake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(16,218)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8,782</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Children's MH Project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9333B2" w:rsidP="009333B2">
            <w:pPr>
              <w:jc w:val="center"/>
              <w:rPr>
                <w:color w:val="000000"/>
              </w:rPr>
            </w:pPr>
            <w:r>
              <w:rPr>
                <w:color w:val="000000"/>
              </w:rPr>
              <w:t>1</w:t>
            </w:r>
            <w:r w:rsidR="00151D8B" w:rsidRPr="00151D8B">
              <w:rPr>
                <w:color w:val="000000"/>
              </w:rPr>
              <w:t>,746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(1,746)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9333B2" w:rsidRPr="00151D8B" w:rsidRDefault="009333B2"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3B2" w:rsidRPr="00151D8B" w:rsidRDefault="009333B2" w:rsidP="009333B2">
            <w:pPr>
              <w:rPr>
                <w:b/>
                <w:bCs/>
                <w:color w:val="000000"/>
              </w:rPr>
            </w:pPr>
            <w:r w:rsidRPr="00151D8B">
              <w:rPr>
                <w:b/>
                <w:bCs/>
                <w:color w:val="000000"/>
              </w:rPr>
              <w:t>Dyson Foundation</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33B2" w:rsidRPr="00151D8B" w:rsidRDefault="009333B2" w:rsidP="009333B2">
            <w:pPr>
              <w:jc w:val="center"/>
              <w:rPr>
                <w:sz w:val="20"/>
                <w:szCs w:val="20"/>
              </w:rPr>
            </w:pPr>
          </w:p>
        </w:tc>
        <w:tc>
          <w:tcPr>
            <w:tcW w:w="0" w:type="auto"/>
            <w:tcBorders>
              <w:left w:val="single" w:sz="4" w:space="0" w:color="auto"/>
            </w:tcBorders>
            <w:shd w:val="clear" w:color="auto" w:fill="auto"/>
            <w:vAlign w:val="center"/>
            <w:hideMark/>
          </w:tcPr>
          <w:p w:rsidR="009333B2" w:rsidRPr="00151D8B" w:rsidRDefault="009333B2" w:rsidP="009333B2">
            <w:pPr>
              <w:jc w:val="center"/>
              <w:rPr>
                <w:sz w:val="20"/>
                <w:szCs w:val="2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Prescription Rx Access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22,000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(11,953)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10,047</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9333B2" w:rsidRPr="00151D8B" w:rsidRDefault="009333B2"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3B2" w:rsidRPr="00151D8B" w:rsidRDefault="009333B2" w:rsidP="009333B2">
            <w:pPr>
              <w:rPr>
                <w:b/>
                <w:bCs/>
                <w:color w:val="000000"/>
              </w:rPr>
            </w:pPr>
            <w:r w:rsidRPr="00151D8B">
              <w:rPr>
                <w:b/>
                <w:bCs/>
                <w:color w:val="000000"/>
              </w:rPr>
              <w:t>NYS Grant Advances</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33B2" w:rsidRPr="00151D8B" w:rsidRDefault="009333B2" w:rsidP="009333B2">
            <w:pPr>
              <w:jc w:val="center"/>
              <w:rPr>
                <w:sz w:val="20"/>
                <w:szCs w:val="20"/>
              </w:rPr>
            </w:pPr>
          </w:p>
        </w:tc>
        <w:tc>
          <w:tcPr>
            <w:tcW w:w="0" w:type="auto"/>
            <w:tcBorders>
              <w:left w:val="single" w:sz="4" w:space="0" w:color="auto"/>
            </w:tcBorders>
            <w:shd w:val="clear" w:color="auto" w:fill="auto"/>
            <w:vAlign w:val="center"/>
            <w:hideMark/>
          </w:tcPr>
          <w:p w:rsidR="009333B2" w:rsidRPr="00151D8B" w:rsidRDefault="009333B2" w:rsidP="009333B2">
            <w:pPr>
              <w:jc w:val="center"/>
              <w:rPr>
                <w:sz w:val="20"/>
                <w:szCs w:val="2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Cancer Services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7,610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22,451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(17,477)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12,584</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ind w:firstLineChars="200" w:firstLine="480"/>
              <w:rPr>
                <w:color w:val="000000"/>
              </w:rPr>
            </w:pPr>
            <w:r w:rsidRPr="00151D8B">
              <w:rPr>
                <w:color w:val="000000"/>
              </w:rPr>
              <w:t>Tobacco Free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43,704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79,750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(56,607)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66,847</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9333B2" w:rsidP="009333B2">
            <w:pPr>
              <w:rPr>
                <w:color w:val="000000"/>
              </w:rPr>
            </w:pPr>
            <w:r>
              <w:rPr>
                <w:color w:val="000000"/>
              </w:rPr>
              <w:t xml:space="preserve">        </w:t>
            </w:r>
            <w:r w:rsidR="00151D8B" w:rsidRPr="00151D8B">
              <w:rPr>
                <w:color w:val="000000"/>
              </w:rPr>
              <w:t>HCBS - HARP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49,850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(49,850)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right"/>
              <w:rPr>
                <w:b/>
                <w:bCs/>
                <w:color w:val="000000"/>
              </w:rPr>
            </w:pPr>
            <w:r w:rsidRPr="00151D8B">
              <w:rPr>
                <w:b/>
                <w:bCs/>
                <w:color w:val="000000"/>
              </w:rPr>
              <w:t>Total Advance Funding Payable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$115,023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$149,201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$(156,150)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9333B2">
            <w:pPr>
              <w:jc w:val="center"/>
              <w:rPr>
                <w:color w:val="000000"/>
              </w:rPr>
            </w:pPr>
            <w:r w:rsidRPr="00151D8B">
              <w:rPr>
                <w:color w:val="000000"/>
              </w:rPr>
              <w:t>$108,074</w:t>
            </w:r>
          </w:p>
        </w:tc>
        <w:tc>
          <w:tcPr>
            <w:tcW w:w="0" w:type="auto"/>
            <w:tcBorders>
              <w:left w:val="single" w:sz="4" w:space="0" w:color="auto"/>
            </w:tcBorders>
            <w:shd w:val="clear" w:color="auto" w:fill="auto"/>
            <w:vAlign w:val="center"/>
            <w:hideMark/>
          </w:tcPr>
          <w:p w:rsidR="00151D8B" w:rsidRPr="00151D8B" w:rsidRDefault="00151D8B" w:rsidP="009333B2">
            <w:pPr>
              <w:jc w:val="center"/>
              <w:rPr>
                <w:color w:val="000000"/>
              </w:rPr>
            </w:pPr>
          </w:p>
        </w:tc>
      </w:tr>
      <w:tr w:rsidR="009333B2" w:rsidRPr="00151D8B" w:rsidTr="00D01490">
        <w:trPr>
          <w:trHeight w:val="225"/>
        </w:trPr>
        <w:tc>
          <w:tcPr>
            <w:tcW w:w="0" w:type="auto"/>
            <w:tcBorders>
              <w:top w:val="nil"/>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right"/>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right"/>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top w:val="single" w:sz="4" w:space="0" w:color="auto"/>
              <w:left w:val="nil"/>
              <w:bottom w:val="nil"/>
              <w:right w:val="nil"/>
            </w:tcBorders>
            <w:shd w:val="clear" w:color="auto" w:fill="auto"/>
            <w:vAlign w:val="center"/>
            <w:hideMark/>
          </w:tcPr>
          <w:p w:rsidR="00151D8B" w:rsidRPr="00151D8B" w:rsidRDefault="00151D8B" w:rsidP="00151D8B">
            <w:pPr>
              <w:jc w:val="center"/>
              <w:rPr>
                <w:sz w:val="20"/>
                <w:szCs w:val="20"/>
              </w:rPr>
            </w:pPr>
          </w:p>
        </w:tc>
        <w:tc>
          <w:tcPr>
            <w:tcW w:w="0" w:type="auto"/>
            <w:tcBorders>
              <w:left w:val="nil"/>
              <w:bottom w:val="nil"/>
              <w:right w:val="nil"/>
            </w:tcBorders>
            <w:shd w:val="clear" w:color="auto" w:fill="auto"/>
            <w:vAlign w:val="center"/>
            <w:hideMark/>
          </w:tcPr>
          <w:p w:rsidR="00151D8B" w:rsidRPr="00151D8B" w:rsidRDefault="00151D8B" w:rsidP="00151D8B">
            <w:pPr>
              <w:jc w:val="center"/>
              <w:rPr>
                <w:sz w:val="20"/>
                <w:szCs w:val="20"/>
              </w:rPr>
            </w:pPr>
          </w:p>
        </w:tc>
      </w:tr>
      <w:tr w:rsidR="00151D8B" w:rsidRPr="00151D8B" w:rsidTr="00D01490">
        <w:trPr>
          <w:trHeight w:val="1350"/>
        </w:trPr>
        <w:tc>
          <w:tcPr>
            <w:tcW w:w="0" w:type="auto"/>
            <w:gridSpan w:val="8"/>
            <w:tcBorders>
              <w:top w:val="nil"/>
              <w:left w:val="nil"/>
              <w:bottom w:val="nil"/>
              <w:right w:val="nil"/>
            </w:tcBorders>
            <w:shd w:val="clear" w:color="auto" w:fill="auto"/>
            <w:hideMark/>
          </w:tcPr>
          <w:p w:rsidR="00151D8B" w:rsidRPr="00151D8B" w:rsidRDefault="00151D8B" w:rsidP="00151D8B">
            <w:pPr>
              <w:rPr>
                <w:rFonts w:ascii="Wingdings" w:hAnsi="Wingdings" w:cs="Arial"/>
                <w:color w:val="000000"/>
              </w:rPr>
            </w:pPr>
            <w:r w:rsidRPr="00151D8B">
              <w:rPr>
                <w:rFonts w:ascii="Wingdings" w:hAnsi="Wingdings" w:cs="Arial"/>
                <w:color w:val="000000"/>
              </w:rPr>
              <w:t></w:t>
            </w:r>
            <w:r w:rsidRPr="00151D8B">
              <w:rPr>
                <w:color w:val="000000"/>
              </w:rPr>
              <w:t xml:space="preserve"> </w:t>
            </w:r>
            <w:r w:rsidRPr="00151D8B">
              <w:rPr>
                <w:rFonts w:ascii="Calibri" w:hAnsi="Calibri" w:cs="Arial"/>
                <w:b/>
                <w:bCs/>
                <w:color w:val="000000"/>
              </w:rPr>
              <w:t>Temporary Restricted Funds</w:t>
            </w:r>
            <w:r w:rsidRPr="00151D8B">
              <w:rPr>
                <w:rFonts w:ascii="Calibri" w:hAnsi="Calibri" w:cs="Arial"/>
                <w:color w:val="000000"/>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August 31, 2017: </w:t>
            </w:r>
          </w:p>
        </w:tc>
      </w:tr>
      <w:tr w:rsidR="009333B2" w:rsidRPr="00151D8B" w:rsidTr="00D01490">
        <w:trPr>
          <w:trHeight w:val="945"/>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rPr>
                <w:rFonts w:ascii="Wingdings" w:hAnsi="Wingdings" w:cs="Arial"/>
                <w:color w:val="00000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Fund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 xml:space="preserve">Beginning Balance at January 1st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 Contributions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&lt;Distributions&gt;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b/>
                <w:bCs/>
                <w:color w:val="000000"/>
              </w:rPr>
            </w:pPr>
            <w:r w:rsidRPr="00151D8B">
              <w:rPr>
                <w:b/>
                <w:bCs/>
                <w:color w:val="000000"/>
              </w:rPr>
              <w:t>Ending Balance at August 31, 2017</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b/>
                <w:bCs/>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color w:val="000000"/>
              </w:rPr>
            </w:pPr>
            <w:r w:rsidRPr="00151D8B">
              <w:rPr>
                <w:color w:val="000000"/>
              </w:rPr>
              <w:t>Columbia County</w:t>
            </w:r>
            <w:r w:rsidRPr="00151D8B">
              <w:rPr>
                <w:color w:val="000000"/>
                <w:sz w:val="22"/>
                <w:szCs w:val="22"/>
              </w:rPr>
              <w:t xml:space="preserve"> -</w:t>
            </w:r>
            <w:r w:rsidRPr="00151D8B">
              <w:rPr>
                <w:color w:val="000000"/>
                <w:sz w:val="18"/>
                <w:szCs w:val="18"/>
              </w:rPr>
              <w:t>CARTS &amp; Receptionist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49,000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(32,667)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16,333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color w:val="000000"/>
              </w:rPr>
            </w:pPr>
            <w:r w:rsidRPr="00151D8B">
              <w:rPr>
                <w:color w:val="000000"/>
              </w:rPr>
              <w:t>Columbia County Depts.-CARTS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19,000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(12,667)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6,333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9333B2" w:rsidP="00151D8B">
            <w:pPr>
              <w:rPr>
                <w:color w:val="000000"/>
              </w:rPr>
            </w:pPr>
            <w:r>
              <w:rPr>
                <w:color w:val="000000"/>
              </w:rPr>
              <w:t>CC</w:t>
            </w:r>
            <w:r w:rsidR="00151D8B" w:rsidRPr="00151D8B">
              <w:rPr>
                <w:color w:val="000000"/>
              </w:rPr>
              <w:t xml:space="preserve"> Cancer Fund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17,438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5,289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(8,336)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14,391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color w:val="000000"/>
              </w:rPr>
            </w:pPr>
            <w:r w:rsidRPr="00151D8B">
              <w:rPr>
                <w:color w:val="000000"/>
              </w:rPr>
              <w:t>Greene County Cancer Fund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8,261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3,660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(2,707)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9,214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color w:val="000000"/>
              </w:rPr>
            </w:pPr>
            <w:r w:rsidRPr="00151D8B">
              <w:rPr>
                <w:color w:val="000000"/>
              </w:rPr>
              <w:t>Complementary Therapies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5,855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5,655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rPr>
                <w:color w:val="000000"/>
              </w:rPr>
            </w:pPr>
            <w:r w:rsidRPr="00151D8B">
              <w:rPr>
                <w:color w:val="000000"/>
              </w:rPr>
              <w:t>Jan Koweek Fund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1,101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1,101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r w:rsidR="009333B2" w:rsidRPr="00151D8B" w:rsidTr="00D01490">
        <w:trPr>
          <w:trHeight w:val="20"/>
        </w:trPr>
        <w:tc>
          <w:tcPr>
            <w:tcW w:w="0" w:type="auto"/>
            <w:tcBorders>
              <w:top w:val="nil"/>
              <w:left w:val="nil"/>
              <w:bottom w:val="nil"/>
              <w:right w:val="single" w:sz="4" w:space="0" w:color="auto"/>
            </w:tcBorders>
            <w:shd w:val="clear" w:color="auto" w:fill="auto"/>
            <w:vAlign w:val="center"/>
            <w:hideMark/>
          </w:tcPr>
          <w:p w:rsidR="00151D8B" w:rsidRPr="00151D8B" w:rsidRDefault="00151D8B" w:rsidP="00151D8B">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right"/>
              <w:rPr>
                <w:color w:val="000000"/>
              </w:rPr>
            </w:pPr>
            <w:r w:rsidRPr="00151D8B">
              <w:rPr>
                <w:color w:val="000000"/>
              </w:rPr>
              <w:t>Totals of Temporary Restricted Funds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$32,654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Pr>
                <w:color w:val="000000"/>
              </w:rPr>
              <w:t xml:space="preserve"> $</w:t>
            </w:r>
            <w:r w:rsidRPr="00151D8B">
              <w:rPr>
                <w:color w:val="000000"/>
              </w:rPr>
              <w:t xml:space="preserve">76,949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$(56,577)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1D8B" w:rsidRPr="00151D8B" w:rsidRDefault="00151D8B" w:rsidP="00151D8B">
            <w:pPr>
              <w:jc w:val="center"/>
              <w:rPr>
                <w:color w:val="000000"/>
              </w:rPr>
            </w:pPr>
            <w:r w:rsidRPr="00151D8B">
              <w:rPr>
                <w:color w:val="000000"/>
              </w:rPr>
              <w:t xml:space="preserve"> $53,027 </w:t>
            </w:r>
          </w:p>
        </w:tc>
        <w:tc>
          <w:tcPr>
            <w:tcW w:w="0" w:type="auto"/>
            <w:tcBorders>
              <w:top w:val="nil"/>
              <w:left w:val="single" w:sz="4" w:space="0" w:color="auto"/>
              <w:bottom w:val="nil"/>
              <w:right w:val="nil"/>
            </w:tcBorders>
            <w:shd w:val="clear" w:color="auto" w:fill="auto"/>
            <w:vAlign w:val="center"/>
            <w:hideMark/>
          </w:tcPr>
          <w:p w:rsidR="00151D8B" w:rsidRPr="00151D8B" w:rsidRDefault="00151D8B" w:rsidP="00151D8B">
            <w:pPr>
              <w:jc w:val="center"/>
              <w:rPr>
                <w:color w:val="000000"/>
              </w:rPr>
            </w:pPr>
          </w:p>
        </w:tc>
      </w:tr>
    </w:tbl>
    <w:p w:rsidR="00385B16" w:rsidRPr="00990131" w:rsidRDefault="00385B16" w:rsidP="006C5404"/>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78" w:rsidRDefault="008D1778" w:rsidP="00A96EC7">
      <w:r>
        <w:separator/>
      </w:r>
    </w:p>
  </w:endnote>
  <w:endnote w:type="continuationSeparator" w:id="0">
    <w:p w:rsidR="008D1778" w:rsidRDefault="008D1778"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78" w:rsidRDefault="008D1778" w:rsidP="00A96EC7">
      <w:r>
        <w:separator/>
      </w:r>
    </w:p>
  </w:footnote>
  <w:footnote w:type="continuationSeparator" w:id="0">
    <w:p w:rsidR="008D1778" w:rsidRDefault="008D1778"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51D8B"/>
    <w:rsid w:val="001911CB"/>
    <w:rsid w:val="001A7704"/>
    <w:rsid w:val="001D6095"/>
    <w:rsid w:val="001E0050"/>
    <w:rsid w:val="001F64E2"/>
    <w:rsid w:val="002061BD"/>
    <w:rsid w:val="00207444"/>
    <w:rsid w:val="00210C29"/>
    <w:rsid w:val="00212943"/>
    <w:rsid w:val="00222A6E"/>
    <w:rsid w:val="002413F8"/>
    <w:rsid w:val="00247C27"/>
    <w:rsid w:val="00252DCF"/>
    <w:rsid w:val="002901B2"/>
    <w:rsid w:val="002A5029"/>
    <w:rsid w:val="002A5131"/>
    <w:rsid w:val="002B263C"/>
    <w:rsid w:val="002B6DEC"/>
    <w:rsid w:val="002B78E6"/>
    <w:rsid w:val="002C083B"/>
    <w:rsid w:val="002C0B80"/>
    <w:rsid w:val="002C4573"/>
    <w:rsid w:val="002E2F64"/>
    <w:rsid w:val="0030688B"/>
    <w:rsid w:val="00342789"/>
    <w:rsid w:val="00350A8C"/>
    <w:rsid w:val="00352709"/>
    <w:rsid w:val="003624D1"/>
    <w:rsid w:val="00385B16"/>
    <w:rsid w:val="003918B4"/>
    <w:rsid w:val="003F79C4"/>
    <w:rsid w:val="00412DDD"/>
    <w:rsid w:val="00413C58"/>
    <w:rsid w:val="00421F8B"/>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6211B"/>
    <w:rsid w:val="00690525"/>
    <w:rsid w:val="006C5404"/>
    <w:rsid w:val="006C7D2A"/>
    <w:rsid w:val="006D2900"/>
    <w:rsid w:val="006D2E29"/>
    <w:rsid w:val="006D5967"/>
    <w:rsid w:val="0070203E"/>
    <w:rsid w:val="007130EC"/>
    <w:rsid w:val="00742E9B"/>
    <w:rsid w:val="007432A5"/>
    <w:rsid w:val="00746F3D"/>
    <w:rsid w:val="00752B9A"/>
    <w:rsid w:val="00796B31"/>
    <w:rsid w:val="007D1B36"/>
    <w:rsid w:val="007D77E8"/>
    <w:rsid w:val="007E15C2"/>
    <w:rsid w:val="007E43C8"/>
    <w:rsid w:val="00810247"/>
    <w:rsid w:val="00843353"/>
    <w:rsid w:val="00855300"/>
    <w:rsid w:val="008630E4"/>
    <w:rsid w:val="008700A0"/>
    <w:rsid w:val="0088470F"/>
    <w:rsid w:val="008A2296"/>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A02AD5"/>
    <w:rsid w:val="00A03133"/>
    <w:rsid w:val="00A176E2"/>
    <w:rsid w:val="00A17DE4"/>
    <w:rsid w:val="00A42B94"/>
    <w:rsid w:val="00A47703"/>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76E2"/>
    <w:rsid w:val="00C14518"/>
    <w:rsid w:val="00C27C64"/>
    <w:rsid w:val="00C31650"/>
    <w:rsid w:val="00C50DA8"/>
    <w:rsid w:val="00C827EF"/>
    <w:rsid w:val="00C95C54"/>
    <w:rsid w:val="00CA7BEE"/>
    <w:rsid w:val="00CC293F"/>
    <w:rsid w:val="00CE1DBC"/>
    <w:rsid w:val="00CE644A"/>
    <w:rsid w:val="00D01490"/>
    <w:rsid w:val="00D12FA2"/>
    <w:rsid w:val="00D14318"/>
    <w:rsid w:val="00D2044F"/>
    <w:rsid w:val="00D46062"/>
    <w:rsid w:val="00D70608"/>
    <w:rsid w:val="00D81AA6"/>
    <w:rsid w:val="00D94F56"/>
    <w:rsid w:val="00DA2F4A"/>
    <w:rsid w:val="00DA6950"/>
    <w:rsid w:val="00DB62FF"/>
    <w:rsid w:val="00E40D99"/>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7\CCCHC%20Financial%20Report%2008%2031%202017%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7\CCCHC%20Financial%20Report%2008%2031%202017%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Data!$A$265:$A$451</c:f>
              <c:numCache>
                <c:formatCode>[$-F800]dddd\,\ mmmm\ dd\,\ yyyy</c:formatCode>
                <c:ptCount val="187"/>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numCache>
            </c:numRef>
          </c:cat>
          <c:val>
            <c:numRef>
              <c:f>Data!$B$265:$B$451</c:f>
              <c:numCache>
                <c:formatCode>#,##0</c:formatCode>
                <c:ptCount val="187"/>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399784.25</c:v>
                </c:pt>
                <c:pt idx="184" formatCode="#,##0_);[Red]\(#,##0\)">
                  <c:v>399902.41</c:v>
                </c:pt>
                <c:pt idx="185" formatCode="#,##0_);[Red]\(#,##0\)">
                  <c:v>364572.56</c:v>
                </c:pt>
                <c:pt idx="186" formatCode="#,##0_);[Red]\(#,##0\)">
                  <c:v>371571.78</c:v>
                </c:pt>
              </c:numCache>
            </c:numRef>
          </c:val>
          <c:smooth val="0"/>
          <c:extLst xmlns:c16r2="http://schemas.microsoft.com/office/drawing/2015/06/chart">
            <c:ext xmlns:c16="http://schemas.microsoft.com/office/drawing/2014/chart" uri="{C3380CC4-5D6E-409C-BE32-E72D297353CC}">
              <c16:uniqueId val="{00000001-B191-4A59-A611-3217939E4E85}"/>
            </c:ext>
          </c:extLst>
        </c:ser>
        <c:dLbls>
          <c:showLegendKey val="0"/>
          <c:showVal val="0"/>
          <c:showCatName val="0"/>
          <c:showSerName val="0"/>
          <c:showPercent val="0"/>
          <c:showBubbleSize val="0"/>
        </c:dLbls>
        <c:smooth val="0"/>
        <c:axId val="8999176"/>
        <c:axId val="190640784"/>
      </c:lineChart>
      <c:dateAx>
        <c:axId val="8999176"/>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40784"/>
        <c:crosses val="autoZero"/>
        <c:auto val="1"/>
        <c:lblOffset val="100"/>
        <c:baseTimeUnit val="days"/>
        <c:majorUnit val="30"/>
        <c:majorTimeUnit val="days"/>
        <c:minorUnit val="4"/>
        <c:minorTimeUnit val="months"/>
      </c:dateAx>
      <c:valAx>
        <c:axId val="190640784"/>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9176"/>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42583</c:v>
                </c:pt>
                <c:pt idx="1">
                  <c:v>42614</c:v>
                </c:pt>
                <c:pt idx="2">
                  <c:v>42644</c:v>
                </c:pt>
                <c:pt idx="3">
                  <c:v>42675</c:v>
                </c:pt>
                <c:pt idx="4">
                  <c:v>42705</c:v>
                </c:pt>
                <c:pt idx="5">
                  <c:v>42736</c:v>
                </c:pt>
                <c:pt idx="6">
                  <c:v>42767</c:v>
                </c:pt>
                <c:pt idx="7">
                  <c:v>42795</c:v>
                </c:pt>
                <c:pt idx="8">
                  <c:v>42826</c:v>
                </c:pt>
                <c:pt idx="9">
                  <c:v>42856</c:v>
                </c:pt>
                <c:pt idx="10">
                  <c:v>42887</c:v>
                </c:pt>
                <c:pt idx="11">
                  <c:v>42917</c:v>
                </c:pt>
                <c:pt idx="12">
                  <c:v>42948</c:v>
                </c:pt>
              </c:numCache>
            </c:numRef>
          </c:cat>
          <c:val>
            <c:numRef>
              <c:f>Data!$E$184:$E$197</c:f>
              <c:numCache>
                <c:formatCode>"$"#,##0_);[Red]\("$"#,##0\)</c:formatCode>
                <c:ptCount val="14"/>
                <c:pt idx="0">
                  <c:v>182364.32</c:v>
                </c:pt>
                <c:pt idx="1">
                  <c:v>242244.9</c:v>
                </c:pt>
                <c:pt idx="2">
                  <c:v>246906.4</c:v>
                </c:pt>
                <c:pt idx="3">
                  <c:v>246462.95</c:v>
                </c:pt>
                <c:pt idx="4">
                  <c:v>249807.51</c:v>
                </c:pt>
                <c:pt idx="5">
                  <c:v>351420.1</c:v>
                </c:pt>
                <c:pt idx="6">
                  <c:v>253330.36</c:v>
                </c:pt>
                <c:pt idx="7">
                  <c:v>280744.2</c:v>
                </c:pt>
                <c:pt idx="8">
                  <c:v>319478.15999999997</c:v>
                </c:pt>
                <c:pt idx="9">
                  <c:v>241828.1</c:v>
                </c:pt>
                <c:pt idx="10">
                  <c:v>248981.18</c:v>
                </c:pt>
                <c:pt idx="11">
                  <c:v>268797.63</c:v>
                </c:pt>
                <c:pt idx="12">
                  <c:v>200883.71</c:v>
                </c:pt>
              </c:numCache>
            </c:numRef>
          </c:val>
          <c:extLst xmlns:c16r2="http://schemas.microsoft.com/office/drawing/2015/06/chart">
            <c:ext xmlns:c16="http://schemas.microsoft.com/office/drawing/2014/chart" uri="{C3380CC4-5D6E-409C-BE32-E72D297353CC}">
              <c16:uniqueId val="{00000000-B783-4EA4-8A1F-A3EC7081C7CA}"/>
            </c:ext>
          </c:extLst>
        </c:ser>
        <c:dLbls>
          <c:showLegendKey val="0"/>
          <c:showVal val="0"/>
          <c:showCatName val="0"/>
          <c:showSerName val="0"/>
          <c:showPercent val="0"/>
          <c:showBubbleSize val="0"/>
        </c:dLbls>
        <c:gapWidth val="243"/>
        <c:overlap val="-83"/>
        <c:axId val="190586560"/>
        <c:axId val="8958632"/>
      </c:barChart>
      <c:dateAx>
        <c:axId val="19058656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8632"/>
        <c:crosses val="autoZero"/>
        <c:auto val="1"/>
        <c:lblOffset val="100"/>
        <c:baseTimeUnit val="months"/>
      </c:dateAx>
      <c:valAx>
        <c:axId val="895863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869A-BDA1-45E1-B379-FFC037C7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2</cp:revision>
  <dcterms:created xsi:type="dcterms:W3CDTF">2017-09-21T18:07:00Z</dcterms:created>
  <dcterms:modified xsi:type="dcterms:W3CDTF">2017-09-21T18:07:00Z</dcterms:modified>
</cp:coreProperties>
</file>