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E6" w:rsidRPr="009D5E8E" w:rsidRDefault="00D50EFD" w:rsidP="00DD1BCE">
      <w:pPr>
        <w:spacing w:line="259" w:lineRule="auto"/>
        <w:jc w:val="both"/>
        <w:rPr>
          <w:b/>
          <w:color w:val="000000" w:themeColor="text1"/>
        </w:rPr>
      </w:pPr>
      <w:r w:rsidRPr="009D5E8E">
        <w:rPr>
          <w:b/>
          <w:noProof/>
          <w:color w:val="000000" w:themeColor="text1"/>
        </w:rPr>
        <w:drawing>
          <wp:anchor distT="0" distB="0" distL="114300" distR="114300" simplePos="0" relativeHeight="251658240" behindDoc="1" locked="0" layoutInCell="1" allowOverlap="1">
            <wp:simplePos x="0" y="0"/>
            <wp:positionH relativeFrom="margin">
              <wp:align>center</wp:align>
            </wp:positionH>
            <wp:positionV relativeFrom="paragraph">
              <wp:posOffset>-7687</wp:posOffset>
            </wp:positionV>
            <wp:extent cx="5325745" cy="885825"/>
            <wp:effectExtent l="0" t="0" r="825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325745" cy="885825"/>
                    </a:xfrm>
                    <a:prstGeom prst="rect">
                      <a:avLst/>
                    </a:prstGeom>
                  </pic:spPr>
                </pic:pic>
              </a:graphicData>
            </a:graphic>
          </wp:anchor>
        </w:drawing>
      </w:r>
    </w:p>
    <w:p w:rsidR="008C1118" w:rsidRPr="009D5E8E" w:rsidRDefault="00D50EFD" w:rsidP="00DD1BCE">
      <w:pPr>
        <w:tabs>
          <w:tab w:val="left" w:pos="8205"/>
        </w:tabs>
        <w:spacing w:line="259" w:lineRule="auto"/>
        <w:jc w:val="both"/>
        <w:rPr>
          <w:b/>
          <w:color w:val="000000" w:themeColor="text1"/>
        </w:rPr>
      </w:pPr>
      <w:r w:rsidRPr="009D5E8E">
        <w:rPr>
          <w:b/>
          <w:color w:val="000000" w:themeColor="text1"/>
        </w:rPr>
        <w:tab/>
      </w:r>
    </w:p>
    <w:p w:rsidR="00D50EFD" w:rsidRPr="009D5E8E" w:rsidRDefault="00D50EFD" w:rsidP="00DD1BCE">
      <w:pPr>
        <w:spacing w:line="259" w:lineRule="auto"/>
        <w:jc w:val="both"/>
        <w:rPr>
          <w:b/>
          <w:color w:val="000000" w:themeColor="text1"/>
        </w:rPr>
      </w:pPr>
    </w:p>
    <w:p w:rsidR="00D50EFD" w:rsidRPr="009D5E8E" w:rsidRDefault="00D50EFD" w:rsidP="00DD1BCE">
      <w:pPr>
        <w:spacing w:before="120" w:line="259" w:lineRule="auto"/>
        <w:jc w:val="both"/>
        <w:rPr>
          <w:b/>
          <w:color w:val="000000" w:themeColor="text1"/>
        </w:rPr>
      </w:pPr>
    </w:p>
    <w:p w:rsidR="00C558C2" w:rsidRDefault="00C558C2" w:rsidP="00DD1BCE">
      <w:pPr>
        <w:spacing w:before="120" w:line="259" w:lineRule="auto"/>
        <w:jc w:val="center"/>
        <w:rPr>
          <w:b/>
          <w:color w:val="000000" w:themeColor="text1"/>
          <w:sz w:val="28"/>
        </w:rPr>
      </w:pPr>
    </w:p>
    <w:p w:rsidR="008C1118" w:rsidRPr="009D5E8E" w:rsidRDefault="0091521C" w:rsidP="00DD1BCE">
      <w:pPr>
        <w:spacing w:before="120" w:line="259" w:lineRule="auto"/>
        <w:jc w:val="center"/>
        <w:rPr>
          <w:b/>
          <w:color w:val="000000" w:themeColor="text1"/>
          <w:sz w:val="28"/>
        </w:rPr>
      </w:pPr>
      <w:r w:rsidRPr="009D5E8E">
        <w:rPr>
          <w:b/>
          <w:color w:val="000000" w:themeColor="text1"/>
          <w:sz w:val="28"/>
        </w:rPr>
        <w:t xml:space="preserve">Executive Director’s </w:t>
      </w:r>
      <w:r w:rsidR="00781B88" w:rsidRPr="009D5E8E">
        <w:rPr>
          <w:b/>
          <w:color w:val="000000" w:themeColor="text1"/>
          <w:sz w:val="28"/>
        </w:rPr>
        <w:t xml:space="preserve">Report to </w:t>
      </w:r>
      <w:r w:rsidR="00B81747" w:rsidRPr="009D5E8E">
        <w:rPr>
          <w:b/>
          <w:color w:val="000000" w:themeColor="text1"/>
          <w:sz w:val="28"/>
        </w:rPr>
        <w:t xml:space="preserve">the </w:t>
      </w:r>
      <w:r w:rsidR="00C03303">
        <w:rPr>
          <w:b/>
          <w:color w:val="000000" w:themeColor="text1"/>
          <w:sz w:val="28"/>
        </w:rPr>
        <w:t>Board</w:t>
      </w:r>
    </w:p>
    <w:p w:rsidR="001477E4" w:rsidRPr="009D5E8E" w:rsidRDefault="00C03303" w:rsidP="00DD1BCE">
      <w:pPr>
        <w:spacing w:line="259" w:lineRule="auto"/>
        <w:jc w:val="center"/>
        <w:rPr>
          <w:color w:val="000000" w:themeColor="text1"/>
          <w:sz w:val="28"/>
        </w:rPr>
      </w:pPr>
      <w:r>
        <w:rPr>
          <w:b/>
          <w:color w:val="000000" w:themeColor="text1"/>
          <w:sz w:val="28"/>
        </w:rPr>
        <w:t>October 7</w:t>
      </w:r>
      <w:r w:rsidR="009D5E8E" w:rsidRPr="009D5E8E">
        <w:rPr>
          <w:b/>
          <w:color w:val="000000" w:themeColor="text1"/>
          <w:sz w:val="28"/>
        </w:rPr>
        <w:t>, 2020</w:t>
      </w:r>
    </w:p>
    <w:p w:rsidR="009D5E8E" w:rsidRPr="009D5E8E" w:rsidRDefault="009D5E8E" w:rsidP="00DD1BCE">
      <w:pPr>
        <w:spacing w:after="120" w:line="259" w:lineRule="auto"/>
        <w:jc w:val="both"/>
        <w:rPr>
          <w:b/>
          <w:color w:val="000000" w:themeColor="text1"/>
          <w:sz w:val="28"/>
        </w:rPr>
      </w:pPr>
      <w:r w:rsidRPr="009D5E8E">
        <w:rPr>
          <w:b/>
          <w:color w:val="000000" w:themeColor="text1"/>
          <w:sz w:val="28"/>
        </w:rPr>
        <w:t>Current Program Updates</w:t>
      </w:r>
    </w:p>
    <w:p w:rsidR="005E7DDC" w:rsidRPr="005E7DDC" w:rsidRDefault="005E7DDC" w:rsidP="00DD1BCE">
      <w:pPr>
        <w:spacing w:after="60" w:line="259" w:lineRule="auto"/>
        <w:ind w:left="288" w:right="288"/>
        <w:rPr>
          <w:b/>
          <w:color w:val="000000" w:themeColor="text1"/>
        </w:rPr>
      </w:pPr>
      <w:r w:rsidRPr="005E7DDC">
        <w:rPr>
          <w:b/>
          <w:color w:val="000000" w:themeColor="text1"/>
        </w:rPr>
        <w:t>CARTS</w:t>
      </w:r>
    </w:p>
    <w:p w:rsidR="00BD103F" w:rsidRDefault="00097D3C" w:rsidP="00DD1BCE">
      <w:pPr>
        <w:spacing w:line="259" w:lineRule="auto"/>
        <w:ind w:left="288"/>
        <w:jc w:val="both"/>
        <w:rPr>
          <w:color w:val="000000" w:themeColor="text1"/>
        </w:rPr>
      </w:pPr>
      <w:r>
        <w:rPr>
          <w:color w:val="000000" w:themeColor="text1"/>
        </w:rPr>
        <w:t xml:space="preserve">CARTS continues </w:t>
      </w:r>
      <w:r w:rsidR="00EE7076">
        <w:rPr>
          <w:color w:val="000000" w:themeColor="text1"/>
        </w:rPr>
        <w:t xml:space="preserve">to operate well below </w:t>
      </w:r>
      <w:r w:rsidR="00DD1BCE">
        <w:rPr>
          <w:color w:val="000000" w:themeColor="text1"/>
        </w:rPr>
        <w:t>the level at the outset of the pandemic</w:t>
      </w:r>
      <w:r>
        <w:rPr>
          <w:color w:val="000000" w:themeColor="text1"/>
        </w:rPr>
        <w:t xml:space="preserve">.  </w:t>
      </w:r>
      <w:r w:rsidR="00BD103F">
        <w:rPr>
          <w:color w:val="000000" w:themeColor="text1"/>
        </w:rPr>
        <w:t xml:space="preserve">The following charts depict </w:t>
      </w:r>
      <w:r w:rsidR="004F58CC">
        <w:rPr>
          <w:color w:val="000000" w:themeColor="text1"/>
        </w:rPr>
        <w:t>the number of rides and riders, respectively, by type, for a period starting in early March (our baseline week, before the effects of the pandemic we</w:t>
      </w:r>
      <w:r w:rsidR="009671C0">
        <w:rPr>
          <w:color w:val="000000" w:themeColor="text1"/>
        </w:rPr>
        <w:t xml:space="preserve">re widely felt) to the present. </w:t>
      </w:r>
    </w:p>
    <w:p w:rsidR="00097D3C" w:rsidRDefault="00BD103F" w:rsidP="00DD1BCE">
      <w:pPr>
        <w:spacing w:line="259" w:lineRule="auto"/>
        <w:ind w:left="288"/>
        <w:jc w:val="both"/>
        <w:rPr>
          <w:color w:val="000000" w:themeColor="text1"/>
        </w:rPr>
      </w:pPr>
      <w:r w:rsidRPr="00BD103F">
        <w:rPr>
          <w:noProof/>
        </w:rPr>
        <w:t xml:space="preserve"> </w:t>
      </w:r>
      <w:r w:rsidR="002108AD">
        <w:rPr>
          <w:noProof/>
        </w:rPr>
        <w:drawing>
          <wp:inline distT="0" distB="0" distL="0" distR="0" wp14:anchorId="16BE6F13">
            <wp:extent cx="668655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6550" cy="2857500"/>
                    </a:xfrm>
                    <a:prstGeom prst="rect">
                      <a:avLst/>
                    </a:prstGeom>
                    <a:noFill/>
                  </pic:spPr>
                </pic:pic>
              </a:graphicData>
            </a:graphic>
          </wp:inline>
        </w:drawing>
      </w:r>
    </w:p>
    <w:p w:rsidR="002108AD" w:rsidRDefault="00097D3C" w:rsidP="002108AD">
      <w:pPr>
        <w:spacing w:line="259" w:lineRule="auto"/>
        <w:ind w:left="288"/>
        <w:jc w:val="both"/>
        <w:rPr>
          <w:color w:val="000000" w:themeColor="text1"/>
        </w:rPr>
      </w:pPr>
      <w:r w:rsidRPr="000255CE">
        <w:rPr>
          <w:color w:val="000000" w:themeColor="text1"/>
        </w:rPr>
        <w:t xml:space="preserve"> </w:t>
      </w:r>
      <w:r w:rsidR="002108AD">
        <w:rPr>
          <w:noProof/>
          <w:color w:val="000000" w:themeColor="text1"/>
        </w:rPr>
        <w:drawing>
          <wp:inline distT="0" distB="0" distL="0" distR="0" wp14:anchorId="77816618">
            <wp:extent cx="6687820" cy="2828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7820" cy="2828925"/>
                    </a:xfrm>
                    <a:prstGeom prst="rect">
                      <a:avLst/>
                    </a:prstGeom>
                    <a:noFill/>
                  </pic:spPr>
                </pic:pic>
              </a:graphicData>
            </a:graphic>
          </wp:inline>
        </w:drawing>
      </w:r>
    </w:p>
    <w:p w:rsidR="000C06AE" w:rsidRDefault="002108AD" w:rsidP="002108AD">
      <w:pPr>
        <w:spacing w:line="259" w:lineRule="auto"/>
        <w:ind w:left="288"/>
        <w:jc w:val="both"/>
        <w:rPr>
          <w:b/>
          <w:color w:val="000000" w:themeColor="text1"/>
        </w:rPr>
      </w:pPr>
      <w:r>
        <w:rPr>
          <w:color w:val="000000" w:themeColor="text1"/>
        </w:rPr>
        <w:lastRenderedPageBreak/>
        <w:t xml:space="preserve">As you can see, while service delivery to non-Medicaid enrollees is </w:t>
      </w:r>
      <w:r w:rsidR="009671C0">
        <w:rPr>
          <w:color w:val="000000" w:themeColor="text1"/>
        </w:rPr>
        <w:t>about 85% of what it once was</w:t>
      </w:r>
      <w:r>
        <w:rPr>
          <w:color w:val="000000" w:themeColor="text1"/>
        </w:rPr>
        <w:t xml:space="preserve">, we </w:t>
      </w:r>
      <w:r w:rsidR="009671C0">
        <w:rPr>
          <w:color w:val="000000" w:themeColor="text1"/>
        </w:rPr>
        <w:t>are currently providing 70% fewer Medicaid rides to 63% fewer Medicaid enrollees</w:t>
      </w:r>
      <w:r>
        <w:rPr>
          <w:color w:val="000000" w:themeColor="text1"/>
        </w:rPr>
        <w:t>.  This is most directly tied to the suspension of in-person ser</w:t>
      </w:r>
      <w:r w:rsidR="00D9360D">
        <w:rPr>
          <w:color w:val="000000" w:themeColor="text1"/>
        </w:rPr>
        <w:t xml:space="preserve">vice delivery to PROS clientele, who constituted </w:t>
      </w:r>
      <w:r w:rsidR="009671C0">
        <w:rPr>
          <w:color w:val="000000" w:themeColor="text1"/>
        </w:rPr>
        <w:t>the largest part</w:t>
      </w:r>
      <w:r w:rsidR="00D9360D">
        <w:rPr>
          <w:color w:val="000000" w:themeColor="text1"/>
        </w:rPr>
        <w:t xml:space="preserve"> of our Medicaid service delivery.</w:t>
      </w:r>
      <w:r>
        <w:rPr>
          <w:color w:val="000000" w:themeColor="text1"/>
        </w:rPr>
        <w:t xml:space="preserve"> </w:t>
      </w:r>
    </w:p>
    <w:p w:rsidR="005E7DDC" w:rsidRDefault="005E7DDC" w:rsidP="00DD1BCE">
      <w:pPr>
        <w:spacing w:line="259" w:lineRule="auto"/>
        <w:ind w:left="288" w:right="288"/>
        <w:jc w:val="both"/>
        <w:rPr>
          <w:b/>
          <w:color w:val="000000" w:themeColor="text1"/>
        </w:rPr>
      </w:pPr>
    </w:p>
    <w:p w:rsidR="005B4C5B" w:rsidRDefault="005B4C5B" w:rsidP="00DD1BCE">
      <w:pPr>
        <w:spacing w:after="60" w:line="259" w:lineRule="auto"/>
        <w:ind w:left="288" w:right="288"/>
        <w:rPr>
          <w:b/>
          <w:color w:val="000000" w:themeColor="text1"/>
        </w:rPr>
      </w:pPr>
      <w:r>
        <w:rPr>
          <w:b/>
          <w:color w:val="000000" w:themeColor="text1"/>
        </w:rPr>
        <w:t>State Contracts</w:t>
      </w:r>
    </w:p>
    <w:p w:rsidR="00C0493E" w:rsidRDefault="000C06AE" w:rsidP="00DD1BCE">
      <w:pPr>
        <w:spacing w:before="120" w:after="120" w:line="259" w:lineRule="auto"/>
        <w:ind w:left="720"/>
        <w:jc w:val="both"/>
        <w:rPr>
          <w:color w:val="000000" w:themeColor="text1"/>
        </w:rPr>
      </w:pPr>
      <w:r>
        <w:rPr>
          <w:b/>
          <w:color w:val="000000" w:themeColor="text1"/>
        </w:rPr>
        <w:t>RHN</w:t>
      </w:r>
      <w:r w:rsidR="002108AD">
        <w:rPr>
          <w:b/>
          <w:color w:val="000000" w:themeColor="text1"/>
        </w:rPr>
        <w:t>—</w:t>
      </w:r>
      <w:r w:rsidR="002108AD" w:rsidRPr="002108AD">
        <w:rPr>
          <w:color w:val="000000" w:themeColor="text1"/>
        </w:rPr>
        <w:t xml:space="preserve">On </w:t>
      </w:r>
      <w:r w:rsidR="002108AD" w:rsidRPr="002108AD">
        <w:rPr>
          <w:color w:val="000000" w:themeColor="text1"/>
        </w:rPr>
        <w:t>August 28</w:t>
      </w:r>
      <w:r w:rsidR="002108AD" w:rsidRPr="002108AD">
        <w:rPr>
          <w:color w:val="000000" w:themeColor="text1"/>
          <w:vertAlign w:val="superscript"/>
        </w:rPr>
        <w:t>th</w:t>
      </w:r>
      <w:r w:rsidR="002108AD">
        <w:rPr>
          <w:color w:val="000000" w:themeColor="text1"/>
        </w:rPr>
        <w:t xml:space="preserve">, </w:t>
      </w:r>
      <w:r w:rsidR="002108AD" w:rsidRPr="002108AD">
        <w:rPr>
          <w:color w:val="000000" w:themeColor="text1"/>
        </w:rPr>
        <w:t xml:space="preserve">NYSDOH </w:t>
      </w:r>
      <w:r w:rsidR="002108AD">
        <w:rPr>
          <w:color w:val="000000" w:themeColor="text1"/>
        </w:rPr>
        <w:t xml:space="preserve">advised us </w:t>
      </w:r>
      <w:r w:rsidR="002108AD" w:rsidRPr="002108AD">
        <w:rPr>
          <w:color w:val="000000" w:themeColor="text1"/>
        </w:rPr>
        <w:t xml:space="preserve">that our RHN </w:t>
      </w:r>
      <w:r w:rsidR="002108AD">
        <w:rPr>
          <w:color w:val="000000" w:themeColor="text1"/>
        </w:rPr>
        <w:t>award</w:t>
      </w:r>
      <w:r w:rsidR="002108AD" w:rsidRPr="002108AD">
        <w:rPr>
          <w:color w:val="000000" w:themeColor="text1"/>
        </w:rPr>
        <w:t xml:space="preserve"> for the period of January 1, 2020 through December 31, 2020 would be reduced from $190,000 to $153,251</w:t>
      </w:r>
      <w:r w:rsidR="00C0493E">
        <w:rPr>
          <w:color w:val="000000" w:themeColor="text1"/>
        </w:rPr>
        <w:t xml:space="preserve"> (just shy of 20%)</w:t>
      </w:r>
      <w:r w:rsidR="002108AD" w:rsidRPr="002108AD">
        <w:rPr>
          <w:color w:val="000000" w:themeColor="text1"/>
        </w:rPr>
        <w:t xml:space="preserve"> as a result of a reduction to the appropriation for the </w:t>
      </w:r>
      <w:r w:rsidR="002108AD" w:rsidRPr="00C0493E">
        <w:rPr>
          <w:color w:val="000000" w:themeColor="text1"/>
        </w:rPr>
        <w:t xml:space="preserve">program in the enacted 2020-2021 state budget. </w:t>
      </w:r>
      <w:r w:rsidR="00C0493E" w:rsidRPr="00C0493E">
        <w:rPr>
          <w:color w:val="000000" w:themeColor="text1"/>
        </w:rPr>
        <w:t xml:space="preserve">We promptly submitted a revised work plan and budget for this amount, </w:t>
      </w:r>
      <w:r w:rsidR="00C0493E" w:rsidRPr="00C0493E">
        <w:rPr>
          <w:color w:val="000000" w:themeColor="text1"/>
        </w:rPr>
        <w:t xml:space="preserve">but since the amount of the reduction exceeds 10% of the total budget amount, the contract must be amended, rather than simply modified, which involves review by the </w:t>
      </w:r>
      <w:r w:rsidR="00C0493E" w:rsidRPr="00C0493E">
        <w:rPr>
          <w:color w:val="000000" w:themeColor="text1"/>
        </w:rPr>
        <w:t xml:space="preserve">Offices of the Attorney General and State Comptroller. </w:t>
      </w:r>
      <w:r w:rsidR="00C0493E">
        <w:rPr>
          <w:color w:val="000000" w:themeColor="text1"/>
        </w:rPr>
        <w:t xml:space="preserve">Until the contract is fully executed, they are withholding payment on our </w:t>
      </w:r>
      <w:r w:rsidR="002108AD">
        <w:rPr>
          <w:color w:val="000000" w:themeColor="text1"/>
        </w:rPr>
        <w:t xml:space="preserve">second quarter </w:t>
      </w:r>
      <w:r w:rsidR="005B4C5B">
        <w:rPr>
          <w:color w:val="000000" w:themeColor="text1"/>
        </w:rPr>
        <w:t xml:space="preserve">(April-June) </w:t>
      </w:r>
      <w:r w:rsidR="00D871A5">
        <w:rPr>
          <w:color w:val="000000" w:themeColor="text1"/>
        </w:rPr>
        <w:t>voucher, in the amount of $32,215</w:t>
      </w:r>
      <w:r w:rsidR="00C0493E">
        <w:rPr>
          <w:color w:val="000000" w:themeColor="text1"/>
        </w:rPr>
        <w:t xml:space="preserve">.  </w:t>
      </w:r>
    </w:p>
    <w:p w:rsidR="00C0493E" w:rsidRDefault="00C0493E" w:rsidP="00DD1BCE">
      <w:pPr>
        <w:spacing w:before="120" w:after="120" w:line="259" w:lineRule="auto"/>
        <w:ind w:left="720"/>
        <w:jc w:val="both"/>
        <w:rPr>
          <w:color w:val="000000" w:themeColor="text1"/>
        </w:rPr>
      </w:pPr>
      <w:r>
        <w:rPr>
          <w:color w:val="000000" w:themeColor="text1"/>
        </w:rPr>
        <w:t>It should be said that the new budget amount is actually greater than we feared (we were planning on being reduced to $130,000).  We were also advised that next contract year’s budget amount will be $141,001.</w:t>
      </w:r>
    </w:p>
    <w:p w:rsidR="006F6CEB" w:rsidRDefault="009B441D" w:rsidP="00C0493E">
      <w:pPr>
        <w:spacing w:before="120" w:after="120" w:line="259" w:lineRule="auto"/>
        <w:ind w:left="720"/>
        <w:jc w:val="both"/>
        <w:rPr>
          <w:color w:val="000000" w:themeColor="text1"/>
        </w:rPr>
      </w:pPr>
      <w:r w:rsidRPr="000C06AE">
        <w:rPr>
          <w:b/>
          <w:color w:val="000000" w:themeColor="text1"/>
        </w:rPr>
        <w:t>Tobacco</w:t>
      </w:r>
      <w:r w:rsidR="009B7CD6">
        <w:rPr>
          <w:b/>
          <w:color w:val="000000" w:themeColor="text1"/>
        </w:rPr>
        <w:t>-Free Action</w:t>
      </w:r>
      <w:r w:rsidR="006848DF">
        <w:rPr>
          <w:b/>
          <w:color w:val="000000" w:themeColor="text1"/>
        </w:rPr>
        <w:t>--</w:t>
      </w:r>
      <w:r w:rsidRPr="009B441D">
        <w:rPr>
          <w:color w:val="000000" w:themeColor="text1"/>
        </w:rPr>
        <w:t xml:space="preserve">The last Tobacco Program voucher to be reimbursed </w:t>
      </w:r>
      <w:r w:rsidR="009671C0">
        <w:rPr>
          <w:color w:val="000000" w:themeColor="text1"/>
        </w:rPr>
        <w:t xml:space="preserve">in its entirety </w:t>
      </w:r>
      <w:r w:rsidRPr="009B441D">
        <w:rPr>
          <w:color w:val="000000" w:themeColor="text1"/>
        </w:rPr>
        <w:t>was</w:t>
      </w:r>
      <w:r>
        <w:rPr>
          <w:color w:val="000000" w:themeColor="text1"/>
        </w:rPr>
        <w:t xml:space="preserve"> for the month of </w:t>
      </w:r>
      <w:r w:rsidR="00C8754A">
        <w:rPr>
          <w:color w:val="000000" w:themeColor="text1"/>
        </w:rPr>
        <w:t>March</w:t>
      </w:r>
      <w:r w:rsidR="006F6CEB">
        <w:rPr>
          <w:color w:val="000000" w:themeColor="text1"/>
        </w:rPr>
        <w:t xml:space="preserve">; </w:t>
      </w:r>
      <w:r w:rsidR="009671C0">
        <w:rPr>
          <w:color w:val="000000" w:themeColor="text1"/>
        </w:rPr>
        <w:t xml:space="preserve">although </w:t>
      </w:r>
      <w:r w:rsidR="006F6CEB">
        <w:rPr>
          <w:color w:val="000000" w:themeColor="text1"/>
        </w:rPr>
        <w:t xml:space="preserve">one </w:t>
      </w:r>
      <w:r w:rsidR="009671C0">
        <w:rPr>
          <w:color w:val="000000" w:themeColor="text1"/>
        </w:rPr>
        <w:t xml:space="preserve">minor </w:t>
      </w:r>
      <w:r w:rsidR="006F6CEB">
        <w:rPr>
          <w:color w:val="000000" w:themeColor="text1"/>
        </w:rPr>
        <w:t xml:space="preserve">expense from </w:t>
      </w:r>
      <w:r w:rsidR="009671C0">
        <w:rPr>
          <w:color w:val="000000" w:themeColor="text1"/>
        </w:rPr>
        <w:t xml:space="preserve">the April voucher was reimbursed because </w:t>
      </w:r>
      <w:r w:rsidR="006F6CEB">
        <w:rPr>
          <w:color w:val="000000" w:themeColor="text1"/>
        </w:rPr>
        <w:t>it represented an expense from the prio</w:t>
      </w:r>
      <w:r w:rsidR="009671C0">
        <w:rPr>
          <w:color w:val="000000" w:themeColor="text1"/>
        </w:rPr>
        <w:t xml:space="preserve">r fiscal year (travel in March), the </w:t>
      </w:r>
      <w:r w:rsidR="006F6CEB">
        <w:rPr>
          <w:color w:val="000000" w:themeColor="text1"/>
        </w:rPr>
        <w:t xml:space="preserve">State </w:t>
      </w:r>
      <w:r w:rsidR="009671C0">
        <w:rPr>
          <w:color w:val="000000" w:themeColor="text1"/>
        </w:rPr>
        <w:t xml:space="preserve">seems to be withholding payment for </w:t>
      </w:r>
      <w:r w:rsidR="006F6CEB">
        <w:rPr>
          <w:color w:val="000000" w:themeColor="text1"/>
        </w:rPr>
        <w:t xml:space="preserve">any expenses incurred in the current fiscal year (April 1 onward). </w:t>
      </w:r>
    </w:p>
    <w:p w:rsidR="009B7CD6" w:rsidRDefault="00C8754A" w:rsidP="00DD1BCE">
      <w:pPr>
        <w:spacing w:before="120" w:after="120" w:line="259" w:lineRule="auto"/>
        <w:ind w:left="720"/>
        <w:jc w:val="both"/>
        <w:rPr>
          <w:color w:val="000000" w:themeColor="text1"/>
        </w:rPr>
      </w:pPr>
      <w:r>
        <w:rPr>
          <w:color w:val="000000" w:themeColor="text1"/>
        </w:rPr>
        <w:t>Although the start date for the next contract period is July 1, 2020, we continue to operate under the prior contract year’s budget, as</w:t>
      </w:r>
      <w:r w:rsidR="009B7CD6">
        <w:rPr>
          <w:color w:val="000000" w:themeColor="text1"/>
        </w:rPr>
        <w:t xml:space="preserve"> we have not been invited to submit a budget or work plan</w:t>
      </w:r>
      <w:r w:rsidR="007427BA">
        <w:rPr>
          <w:color w:val="000000" w:themeColor="text1"/>
        </w:rPr>
        <w:t xml:space="preserve"> as yet</w:t>
      </w:r>
      <w:r w:rsidR="009B7CD6">
        <w:rPr>
          <w:color w:val="000000" w:themeColor="text1"/>
        </w:rPr>
        <w:t xml:space="preserve">.  We have, however, been asked to plan for a reduction of some amount, </w:t>
      </w:r>
      <w:r w:rsidR="007427BA">
        <w:rPr>
          <w:color w:val="000000" w:themeColor="text1"/>
        </w:rPr>
        <w:t>estimated at</w:t>
      </w:r>
      <w:r w:rsidR="009B7CD6">
        <w:rPr>
          <w:color w:val="000000" w:themeColor="text1"/>
        </w:rPr>
        <w:t xml:space="preserve"> 20%.</w:t>
      </w:r>
      <w:r>
        <w:rPr>
          <w:color w:val="000000" w:themeColor="text1"/>
        </w:rPr>
        <w:t xml:space="preserve"> While waiting for additional guidance, Tobacco Program staff continue to work reduced hours (.7 FTE) and all </w:t>
      </w:r>
      <w:r w:rsidR="006F6CEB">
        <w:rPr>
          <w:color w:val="000000" w:themeColor="text1"/>
        </w:rPr>
        <w:t xml:space="preserve">hiring and </w:t>
      </w:r>
      <w:r>
        <w:rPr>
          <w:color w:val="000000" w:themeColor="text1"/>
        </w:rPr>
        <w:t xml:space="preserve">discretionary spending is on hold. </w:t>
      </w:r>
    </w:p>
    <w:p w:rsidR="005B4C5B" w:rsidRDefault="005B4C5B" w:rsidP="00DD1BCE">
      <w:pPr>
        <w:spacing w:before="120" w:after="120" w:line="259" w:lineRule="auto"/>
        <w:ind w:left="720"/>
        <w:jc w:val="both"/>
        <w:rPr>
          <w:color w:val="000000" w:themeColor="text1"/>
        </w:rPr>
      </w:pPr>
      <w:r w:rsidRPr="005B4C5B">
        <w:rPr>
          <w:b/>
          <w:color w:val="000000" w:themeColor="text1"/>
        </w:rPr>
        <w:t>Navigator</w:t>
      </w:r>
      <w:r w:rsidR="006848DF">
        <w:rPr>
          <w:b/>
          <w:color w:val="000000" w:themeColor="text1"/>
        </w:rPr>
        <w:t>--</w:t>
      </w:r>
      <w:r>
        <w:rPr>
          <w:color w:val="000000" w:themeColor="text1"/>
        </w:rPr>
        <w:t xml:space="preserve">Interestingly, the Navigator Program has remained fairly current, reimbursing vouchers, in their entirety, through </w:t>
      </w:r>
      <w:r w:rsidR="00C0493E">
        <w:rPr>
          <w:color w:val="000000" w:themeColor="text1"/>
        </w:rPr>
        <w:t>July</w:t>
      </w:r>
      <w:r>
        <w:rPr>
          <w:color w:val="000000" w:themeColor="text1"/>
        </w:rPr>
        <w:t xml:space="preserve">.  </w:t>
      </w:r>
      <w:r w:rsidR="006848DF">
        <w:rPr>
          <w:color w:val="000000" w:themeColor="text1"/>
        </w:rPr>
        <w:t>We were also invited to submit a budget for</w:t>
      </w:r>
      <w:r w:rsidR="002454C8">
        <w:rPr>
          <w:color w:val="000000" w:themeColor="text1"/>
        </w:rPr>
        <w:t xml:space="preserve"> the entire award amount, though that certainly does not preclude a cut later. </w:t>
      </w:r>
      <w:r w:rsidR="006848DF">
        <w:rPr>
          <w:color w:val="000000" w:themeColor="text1"/>
        </w:rPr>
        <w:t xml:space="preserve"> </w:t>
      </w:r>
    </w:p>
    <w:p w:rsidR="00336746" w:rsidRDefault="00336746" w:rsidP="00DD1BCE">
      <w:pPr>
        <w:spacing w:after="160" w:line="259" w:lineRule="auto"/>
        <w:ind w:left="288"/>
        <w:rPr>
          <w:b/>
          <w:color w:val="000000" w:themeColor="text1"/>
        </w:rPr>
      </w:pPr>
    </w:p>
    <w:p w:rsidR="00961084" w:rsidRDefault="00DD1BCE" w:rsidP="00DD1BCE">
      <w:pPr>
        <w:spacing w:after="160" w:line="259" w:lineRule="auto"/>
        <w:ind w:left="288"/>
        <w:rPr>
          <w:b/>
          <w:color w:val="000000" w:themeColor="text1"/>
        </w:rPr>
      </w:pPr>
      <w:r w:rsidRPr="00DD1BCE">
        <w:rPr>
          <w:b/>
          <w:color w:val="000000" w:themeColor="text1"/>
        </w:rPr>
        <w:t>County Contracts</w:t>
      </w:r>
      <w:r>
        <w:rPr>
          <w:b/>
          <w:color w:val="000000" w:themeColor="text1"/>
        </w:rPr>
        <w:t xml:space="preserve">: </w:t>
      </w:r>
    </w:p>
    <w:p w:rsidR="00961084" w:rsidRDefault="00DD1BCE" w:rsidP="00961084">
      <w:pPr>
        <w:spacing w:before="120" w:after="120" w:line="259" w:lineRule="auto"/>
        <w:ind w:left="720"/>
        <w:jc w:val="both"/>
        <w:rPr>
          <w:b/>
          <w:color w:val="000000" w:themeColor="text1"/>
        </w:rPr>
      </w:pPr>
      <w:r w:rsidRPr="00DD1BCE">
        <w:rPr>
          <w:b/>
          <w:color w:val="000000" w:themeColor="text1"/>
        </w:rPr>
        <w:t xml:space="preserve">NY Connects, MIPPA, &amp; HEAling Communities Study </w:t>
      </w:r>
      <w:r w:rsidRPr="00DD1BCE">
        <w:rPr>
          <w:color w:val="000000" w:themeColor="text1"/>
        </w:rPr>
        <w:t>vouchers thru June’20 have all been paid</w:t>
      </w:r>
      <w:r w:rsidR="00961084" w:rsidRPr="00961084">
        <w:rPr>
          <w:b/>
          <w:color w:val="000000" w:themeColor="text1"/>
        </w:rPr>
        <w:t xml:space="preserve"> </w:t>
      </w:r>
    </w:p>
    <w:p w:rsidR="00961084" w:rsidRDefault="00961084" w:rsidP="00961084">
      <w:pPr>
        <w:spacing w:before="120" w:after="120" w:line="259" w:lineRule="auto"/>
        <w:ind w:left="720"/>
        <w:jc w:val="both"/>
        <w:rPr>
          <w:color w:val="000000" w:themeColor="text1"/>
        </w:rPr>
      </w:pPr>
      <w:r>
        <w:rPr>
          <w:b/>
          <w:color w:val="000000" w:themeColor="text1"/>
        </w:rPr>
        <w:t>ADRC</w:t>
      </w:r>
      <w:r w:rsidRPr="00C0493E">
        <w:rPr>
          <w:color w:val="000000" w:themeColor="text1"/>
        </w:rPr>
        <w:t>-</w:t>
      </w:r>
      <w:r>
        <w:rPr>
          <w:color w:val="000000" w:themeColor="text1"/>
        </w:rPr>
        <w:t xml:space="preserve">We have recently executed another contract with the Columbia County Office for the Aging to manage a small amount of money (~$14K) on their behalf.  These funds, which are dedicated to COVID-relief for eligible participants, will be managed much like requests to our Prescription Access and Referral Program or Financial Assistance Funds. </w:t>
      </w:r>
    </w:p>
    <w:p w:rsidR="00336746" w:rsidRDefault="00336746" w:rsidP="00961084">
      <w:pPr>
        <w:spacing w:after="60" w:line="259" w:lineRule="auto"/>
        <w:ind w:left="288"/>
        <w:jc w:val="both"/>
        <w:rPr>
          <w:b/>
          <w:color w:val="000000" w:themeColor="text1"/>
        </w:rPr>
      </w:pPr>
    </w:p>
    <w:p w:rsidR="00C0493E" w:rsidRDefault="00DD1BCE" w:rsidP="00961084">
      <w:pPr>
        <w:spacing w:after="60" w:line="259" w:lineRule="auto"/>
        <w:ind w:left="288"/>
        <w:jc w:val="both"/>
        <w:rPr>
          <w:b/>
          <w:color w:val="000000" w:themeColor="text1"/>
        </w:rPr>
      </w:pPr>
      <w:r>
        <w:rPr>
          <w:b/>
          <w:color w:val="000000" w:themeColor="text1"/>
        </w:rPr>
        <w:t xml:space="preserve">Other Contracts: </w:t>
      </w:r>
    </w:p>
    <w:p w:rsidR="00C0493E" w:rsidRDefault="00EE7076" w:rsidP="00C0493E">
      <w:pPr>
        <w:spacing w:line="259" w:lineRule="auto"/>
        <w:ind w:left="720"/>
        <w:jc w:val="both"/>
        <w:rPr>
          <w:color w:val="000000" w:themeColor="text1"/>
        </w:rPr>
      </w:pPr>
      <w:r w:rsidRPr="00EE7076">
        <w:rPr>
          <w:b/>
          <w:color w:val="000000" w:themeColor="text1"/>
        </w:rPr>
        <w:t>ICAN</w:t>
      </w:r>
      <w:r>
        <w:rPr>
          <w:color w:val="000000" w:themeColor="text1"/>
        </w:rPr>
        <w:t xml:space="preserve">-We </w:t>
      </w:r>
      <w:r w:rsidR="00C0493E">
        <w:rPr>
          <w:color w:val="000000" w:themeColor="text1"/>
        </w:rPr>
        <w:t xml:space="preserve">have successfully renegotiated our subcontract with </w:t>
      </w:r>
      <w:r>
        <w:rPr>
          <w:color w:val="000000" w:themeColor="text1"/>
        </w:rPr>
        <w:t>the Healthy Capital District Initiative (HCDI) for the Independent Consumer Advocacy Network</w:t>
      </w:r>
      <w:r w:rsidR="00C0493E">
        <w:rPr>
          <w:color w:val="000000" w:themeColor="text1"/>
        </w:rPr>
        <w:t xml:space="preserve"> for the period of May 1, 2020 through April 30, 2021 in the amount of $17,510</w:t>
      </w:r>
      <w:r>
        <w:rPr>
          <w:color w:val="000000" w:themeColor="text1"/>
        </w:rPr>
        <w:t xml:space="preserve">. </w:t>
      </w:r>
    </w:p>
    <w:p w:rsidR="00C0493E" w:rsidRDefault="00C0493E" w:rsidP="00DD1BCE">
      <w:pPr>
        <w:spacing w:line="259" w:lineRule="auto"/>
        <w:ind w:left="288"/>
        <w:jc w:val="both"/>
        <w:rPr>
          <w:color w:val="000000" w:themeColor="text1"/>
        </w:rPr>
      </w:pPr>
    </w:p>
    <w:p w:rsidR="00336746" w:rsidRDefault="00D9360D">
      <w:pPr>
        <w:spacing w:after="160" w:line="259" w:lineRule="auto"/>
        <w:rPr>
          <w:b/>
          <w:color w:val="000000" w:themeColor="text1"/>
          <w:sz w:val="28"/>
        </w:rPr>
      </w:pPr>
      <w:r>
        <w:rPr>
          <w:b/>
          <w:color w:val="000000" w:themeColor="text1"/>
          <w:sz w:val="28"/>
        </w:rPr>
        <w:t xml:space="preserve">   </w:t>
      </w:r>
    </w:p>
    <w:p w:rsidR="009671C0" w:rsidRDefault="009671C0" w:rsidP="00336746">
      <w:pPr>
        <w:spacing w:after="160" w:line="259" w:lineRule="auto"/>
        <w:ind w:left="288"/>
        <w:rPr>
          <w:b/>
          <w:color w:val="000000" w:themeColor="text1"/>
        </w:rPr>
      </w:pPr>
    </w:p>
    <w:p w:rsidR="00961084" w:rsidRPr="00D9360D" w:rsidRDefault="00D9360D" w:rsidP="00336746">
      <w:pPr>
        <w:spacing w:after="160" w:line="259" w:lineRule="auto"/>
        <w:ind w:left="288"/>
        <w:rPr>
          <w:b/>
          <w:color w:val="000000" w:themeColor="text1"/>
        </w:rPr>
      </w:pPr>
      <w:r w:rsidRPr="00D9360D">
        <w:rPr>
          <w:b/>
          <w:color w:val="000000" w:themeColor="text1"/>
        </w:rPr>
        <w:lastRenderedPageBreak/>
        <w:t>Private donors:</w:t>
      </w:r>
    </w:p>
    <w:p w:rsidR="00336746" w:rsidRDefault="00D9360D" w:rsidP="00B42C3A">
      <w:pPr>
        <w:pStyle w:val="ListParagraph"/>
        <w:numPr>
          <w:ilvl w:val="0"/>
          <w:numId w:val="24"/>
        </w:numPr>
        <w:spacing w:before="120" w:after="120" w:line="259" w:lineRule="auto"/>
        <w:contextualSpacing w:val="0"/>
        <w:rPr>
          <w:color w:val="000000" w:themeColor="text1"/>
        </w:rPr>
      </w:pPr>
      <w:r w:rsidRPr="00336746">
        <w:rPr>
          <w:color w:val="000000" w:themeColor="text1"/>
        </w:rPr>
        <w:t>We have been fortunate to receive $2,500 from Brinder Habeck of Kinderhook Toyota, a generous and reliable donor to the Consortium, which we expect will be matched by the Toyota Foundation</w:t>
      </w:r>
    </w:p>
    <w:p w:rsidR="00D9360D" w:rsidRPr="00336746" w:rsidRDefault="00D9360D" w:rsidP="00B42C3A">
      <w:pPr>
        <w:pStyle w:val="ListParagraph"/>
        <w:numPr>
          <w:ilvl w:val="0"/>
          <w:numId w:val="24"/>
        </w:numPr>
        <w:spacing w:before="120" w:after="120" w:line="259" w:lineRule="auto"/>
        <w:contextualSpacing w:val="0"/>
        <w:rPr>
          <w:color w:val="000000" w:themeColor="text1"/>
        </w:rPr>
      </w:pPr>
      <w:r w:rsidRPr="00336746">
        <w:rPr>
          <w:color w:val="000000" w:themeColor="text1"/>
        </w:rPr>
        <w:t xml:space="preserve">We unexpectedly received $5,000 from an anonymous donor through the Triskeles Foundation. </w:t>
      </w:r>
    </w:p>
    <w:p w:rsidR="00D9360D" w:rsidRPr="00D9360D" w:rsidRDefault="00D9360D" w:rsidP="00D9360D">
      <w:pPr>
        <w:pStyle w:val="ListParagraph"/>
        <w:numPr>
          <w:ilvl w:val="0"/>
          <w:numId w:val="24"/>
        </w:numPr>
        <w:spacing w:before="120" w:after="120" w:line="259" w:lineRule="auto"/>
        <w:contextualSpacing w:val="0"/>
        <w:rPr>
          <w:color w:val="000000" w:themeColor="text1"/>
        </w:rPr>
      </w:pPr>
      <w:r w:rsidRPr="00D9360D">
        <w:rPr>
          <w:color w:val="000000" w:themeColor="text1"/>
        </w:rPr>
        <w:t>We felt privileged to be contacted by our friends at the Rip Van Winkle Foundation, who provided $30,000 to the Healthcare Consortium to offset General Operating expenses.</w:t>
      </w:r>
    </w:p>
    <w:p w:rsidR="00D02507" w:rsidRPr="00A606DB" w:rsidRDefault="00336746" w:rsidP="00DD1BCE">
      <w:pPr>
        <w:spacing w:before="120" w:after="160" w:line="259" w:lineRule="auto"/>
        <w:jc w:val="both"/>
        <w:rPr>
          <w:b/>
          <w:color w:val="000000" w:themeColor="text1"/>
          <w:sz w:val="28"/>
        </w:rPr>
      </w:pPr>
      <w:r>
        <w:rPr>
          <w:b/>
          <w:color w:val="000000" w:themeColor="text1"/>
          <w:sz w:val="28"/>
        </w:rPr>
        <w:t>Personnel Updates</w:t>
      </w:r>
    </w:p>
    <w:p w:rsidR="009C338C" w:rsidRPr="009C338C" w:rsidRDefault="0018648D" w:rsidP="009C338C">
      <w:pPr>
        <w:spacing w:after="120" w:line="259" w:lineRule="auto"/>
        <w:ind w:left="360"/>
        <w:jc w:val="both"/>
        <w:rPr>
          <w:color w:val="000000" w:themeColor="text1"/>
        </w:rPr>
      </w:pPr>
      <w:r w:rsidRPr="009C338C">
        <w:rPr>
          <w:b/>
          <w:color w:val="000000" w:themeColor="text1"/>
        </w:rPr>
        <w:t xml:space="preserve">New </w:t>
      </w:r>
      <w:r w:rsidR="00336746">
        <w:rPr>
          <w:b/>
          <w:color w:val="000000" w:themeColor="text1"/>
        </w:rPr>
        <w:t xml:space="preserve">personnel </w:t>
      </w:r>
      <w:r w:rsidRPr="009C338C">
        <w:rPr>
          <w:b/>
          <w:color w:val="000000" w:themeColor="text1"/>
        </w:rPr>
        <w:t>policies</w:t>
      </w:r>
    </w:p>
    <w:p w:rsidR="0018648D" w:rsidRPr="009C338C" w:rsidRDefault="0018648D" w:rsidP="009C338C">
      <w:pPr>
        <w:spacing w:line="259" w:lineRule="auto"/>
        <w:ind w:left="720"/>
        <w:jc w:val="both"/>
        <w:rPr>
          <w:color w:val="000000" w:themeColor="text1"/>
        </w:rPr>
      </w:pPr>
      <w:r w:rsidRPr="009C338C">
        <w:rPr>
          <w:b/>
          <w:bCs/>
          <w:color w:val="000000" w:themeColor="text1"/>
        </w:rPr>
        <w:t>Remote Work</w:t>
      </w:r>
      <w:r w:rsidR="009C338C">
        <w:rPr>
          <w:color w:val="000000" w:themeColor="text1"/>
        </w:rPr>
        <w:t>—As previously reported, w</w:t>
      </w:r>
      <w:r w:rsidRPr="009C338C">
        <w:rPr>
          <w:color w:val="000000" w:themeColor="text1"/>
        </w:rPr>
        <w:t>e’ve been operating under procedures communicated to staff via memo and in</w:t>
      </w:r>
      <w:r w:rsidR="009C338C">
        <w:rPr>
          <w:color w:val="000000" w:themeColor="text1"/>
        </w:rPr>
        <w:t xml:space="preserve"> the workplace safety plan, but felt that a </w:t>
      </w:r>
      <w:r w:rsidR="005005B8" w:rsidRPr="009C338C">
        <w:rPr>
          <w:color w:val="000000" w:themeColor="text1"/>
        </w:rPr>
        <w:t xml:space="preserve">more durable </w:t>
      </w:r>
      <w:r w:rsidRPr="009C338C">
        <w:rPr>
          <w:color w:val="000000" w:themeColor="text1"/>
        </w:rPr>
        <w:t>personnel policy</w:t>
      </w:r>
      <w:r w:rsidR="009C338C">
        <w:rPr>
          <w:color w:val="000000" w:themeColor="text1"/>
        </w:rPr>
        <w:t xml:space="preserve"> was needed.  We developed a draft that was then reviewed and refined by the attorney at NYCON</w:t>
      </w:r>
      <w:r w:rsidR="009671C0">
        <w:rPr>
          <w:color w:val="000000" w:themeColor="text1"/>
        </w:rPr>
        <w:t xml:space="preserve">, and for which </w:t>
      </w:r>
      <w:r w:rsidR="009C338C">
        <w:rPr>
          <w:color w:val="000000" w:themeColor="text1"/>
        </w:rPr>
        <w:t xml:space="preserve">approval is </w:t>
      </w:r>
      <w:r w:rsidR="009671C0">
        <w:rPr>
          <w:color w:val="000000" w:themeColor="text1"/>
        </w:rPr>
        <w:t xml:space="preserve">now </w:t>
      </w:r>
      <w:r w:rsidR="009C338C">
        <w:rPr>
          <w:color w:val="000000" w:themeColor="text1"/>
        </w:rPr>
        <w:t>sought.</w:t>
      </w:r>
    </w:p>
    <w:p w:rsidR="005005B8" w:rsidRPr="009C338C" w:rsidRDefault="0018648D" w:rsidP="009C338C">
      <w:pPr>
        <w:spacing w:before="120" w:after="120" w:line="259" w:lineRule="auto"/>
        <w:ind w:left="720"/>
        <w:jc w:val="both"/>
        <w:rPr>
          <w:color w:val="000000" w:themeColor="text1"/>
          <w:sz w:val="22"/>
          <w:szCs w:val="22"/>
        </w:rPr>
      </w:pPr>
      <w:r w:rsidRPr="009C338C">
        <w:rPr>
          <w:b/>
          <w:bCs/>
          <w:color w:val="000000" w:themeColor="text1"/>
        </w:rPr>
        <w:t>NY Paid Sick Leave</w:t>
      </w:r>
      <w:r w:rsidR="009C338C">
        <w:rPr>
          <w:bCs/>
          <w:color w:val="000000" w:themeColor="text1"/>
        </w:rPr>
        <w:t>—T</w:t>
      </w:r>
      <w:r w:rsidR="005005B8" w:rsidRPr="009C338C">
        <w:rPr>
          <w:bCs/>
          <w:color w:val="000000" w:themeColor="text1"/>
        </w:rPr>
        <w:t xml:space="preserve">his new legislation </w:t>
      </w:r>
      <w:r w:rsidR="009C338C">
        <w:rPr>
          <w:bCs/>
          <w:color w:val="000000" w:themeColor="text1"/>
        </w:rPr>
        <w:t xml:space="preserve">currently </w:t>
      </w:r>
      <w:r w:rsidR="005005B8" w:rsidRPr="009C338C">
        <w:rPr>
          <w:bCs/>
          <w:color w:val="000000" w:themeColor="text1"/>
        </w:rPr>
        <w:t xml:space="preserve">provides paid sick leave for temporary casual/per diem workers, which our current PTO policy did not do; </w:t>
      </w:r>
      <w:r w:rsidR="009C338C">
        <w:rPr>
          <w:color w:val="000000" w:themeColor="text1"/>
        </w:rPr>
        <w:t>should this version of the legislation persist, we expect it to add to our labor costs, particularly in Transportation.</w:t>
      </w:r>
      <w:r w:rsidR="005005B8" w:rsidRPr="009C338C">
        <w:rPr>
          <w:color w:val="000000" w:themeColor="text1"/>
        </w:rPr>
        <w:t xml:space="preserve">  However, the State has not provided sufficient guidance for us to </w:t>
      </w:r>
      <w:r w:rsidR="009671C0">
        <w:rPr>
          <w:color w:val="000000" w:themeColor="text1"/>
        </w:rPr>
        <w:t>develop and/or modify policies to respond</w:t>
      </w:r>
      <w:r w:rsidR="009C338C">
        <w:rPr>
          <w:color w:val="000000" w:themeColor="text1"/>
        </w:rPr>
        <w:t xml:space="preserve">, and all the counsel we have received has </w:t>
      </w:r>
      <w:r w:rsidR="00336746">
        <w:rPr>
          <w:color w:val="000000" w:themeColor="text1"/>
        </w:rPr>
        <w:t xml:space="preserve">advised us to delay </w:t>
      </w:r>
      <w:r w:rsidR="009671C0">
        <w:rPr>
          <w:color w:val="000000" w:themeColor="text1"/>
        </w:rPr>
        <w:t>doing so</w:t>
      </w:r>
      <w:r w:rsidR="00336746">
        <w:rPr>
          <w:color w:val="000000" w:themeColor="text1"/>
        </w:rPr>
        <w:t xml:space="preserve"> at this time</w:t>
      </w:r>
      <w:r w:rsidR="009C338C">
        <w:rPr>
          <w:color w:val="000000" w:themeColor="text1"/>
        </w:rPr>
        <w:t xml:space="preserve">. </w:t>
      </w:r>
    </w:p>
    <w:p w:rsidR="0018648D" w:rsidRDefault="0018648D" w:rsidP="009C338C">
      <w:pPr>
        <w:spacing w:before="120" w:after="120" w:line="259" w:lineRule="auto"/>
        <w:ind w:left="360"/>
        <w:jc w:val="both"/>
        <w:rPr>
          <w:color w:val="000000" w:themeColor="text1"/>
        </w:rPr>
      </w:pPr>
      <w:r w:rsidRPr="009C338C">
        <w:rPr>
          <w:b/>
          <w:color w:val="000000" w:themeColor="text1"/>
        </w:rPr>
        <w:t>Payroll Tax Deferral</w:t>
      </w:r>
      <w:r w:rsidRPr="009C338C">
        <w:rPr>
          <w:color w:val="000000" w:themeColor="text1"/>
        </w:rPr>
        <w:t>—</w:t>
      </w:r>
      <w:r w:rsidR="009C338C">
        <w:rPr>
          <w:color w:val="000000" w:themeColor="text1"/>
        </w:rPr>
        <w:t>We opted to not provide employees with the opportunity to defer the Social Security portion of their income tax from September 1</w:t>
      </w:r>
      <w:r w:rsidR="009C338C" w:rsidRPr="009C338C">
        <w:rPr>
          <w:color w:val="000000" w:themeColor="text1"/>
          <w:vertAlign w:val="superscript"/>
        </w:rPr>
        <w:t>st</w:t>
      </w:r>
      <w:r w:rsidR="009C338C">
        <w:rPr>
          <w:color w:val="000000" w:themeColor="text1"/>
        </w:rPr>
        <w:t xml:space="preserve"> through December 31</w:t>
      </w:r>
      <w:r w:rsidR="009C338C" w:rsidRPr="009C338C">
        <w:rPr>
          <w:color w:val="000000" w:themeColor="text1"/>
          <w:vertAlign w:val="superscript"/>
        </w:rPr>
        <w:t>st</w:t>
      </w:r>
      <w:r w:rsidR="009C338C">
        <w:rPr>
          <w:color w:val="000000" w:themeColor="text1"/>
        </w:rPr>
        <w:t xml:space="preserve">, for two reasons: (1) we were concerned that employees would have difficulty repaying the deferred tax in the first quarter of 2021, and (2) we did not want to assume the liability for their deferred taxes, should they separate. </w:t>
      </w:r>
    </w:p>
    <w:p w:rsidR="009C338C" w:rsidRPr="009C338C" w:rsidRDefault="009C338C" w:rsidP="009C338C">
      <w:pPr>
        <w:spacing w:before="120" w:after="120" w:line="259" w:lineRule="auto"/>
        <w:jc w:val="both"/>
        <w:rPr>
          <w:b/>
          <w:sz w:val="28"/>
        </w:rPr>
      </w:pPr>
    </w:p>
    <w:p w:rsidR="009C338C" w:rsidRDefault="009C338C" w:rsidP="009C338C">
      <w:pPr>
        <w:spacing w:before="120" w:after="120" w:line="259" w:lineRule="auto"/>
        <w:jc w:val="both"/>
        <w:rPr>
          <w:b/>
          <w:sz w:val="28"/>
        </w:rPr>
      </w:pPr>
      <w:r w:rsidRPr="009C338C">
        <w:rPr>
          <w:b/>
          <w:sz w:val="28"/>
        </w:rPr>
        <w:t>Update on the Strategic Plan</w:t>
      </w:r>
    </w:p>
    <w:p w:rsidR="00D9360D" w:rsidRDefault="00336746" w:rsidP="009C338C">
      <w:pPr>
        <w:spacing w:before="120" w:after="120" w:line="259" w:lineRule="auto"/>
        <w:jc w:val="both"/>
      </w:pPr>
      <w:r>
        <w:t xml:space="preserve">While the pandemic has certainly interrupted many of our plans, I remain mindful of the goals that we outlined in our strategic plan, and </w:t>
      </w:r>
      <w:r w:rsidR="009671C0">
        <w:t xml:space="preserve">still aim to </w:t>
      </w:r>
      <w:r>
        <w:t xml:space="preserve">advance them when and where </w:t>
      </w:r>
      <w:r w:rsidR="009671C0">
        <w:t>I</w:t>
      </w:r>
      <w:bookmarkStart w:id="0" w:name="_GoBack"/>
      <w:bookmarkEnd w:id="0"/>
      <w:r>
        <w:t xml:space="preserve"> can.  As you may recall, one of our goals was to provide staff with competitive compensation.  As a starting point, we were able to commission a company to conduct an agency-wide compensation study, which was completed in the early part of this year. This helped to highlight a number of positions that are undercompensated by a substantial percent (10% or more).  Although this is not the year to make substantial upward adjustments to any person’s base rate of pay, the Paycheck Protection Program provided us with an opportunity to advance this goal by providing “one time retention incentives” that bring each recipient closer to their 2020 compensation goal. </w:t>
      </w:r>
    </w:p>
    <w:p w:rsidR="00D9360D" w:rsidRDefault="00D9360D" w:rsidP="009C338C">
      <w:pPr>
        <w:spacing w:before="120" w:after="120" w:line="259" w:lineRule="auto"/>
        <w:jc w:val="both"/>
      </w:pPr>
    </w:p>
    <w:p w:rsidR="009C338C" w:rsidRDefault="009C338C" w:rsidP="009C338C">
      <w:pPr>
        <w:spacing w:before="120" w:after="120" w:line="259" w:lineRule="auto"/>
        <w:jc w:val="both"/>
        <w:rPr>
          <w:b/>
          <w:sz w:val="28"/>
        </w:rPr>
      </w:pPr>
      <w:r>
        <w:rPr>
          <w:b/>
          <w:sz w:val="28"/>
        </w:rPr>
        <w:t>Board and Community Relations</w:t>
      </w:r>
    </w:p>
    <w:p w:rsidR="009C338C" w:rsidRDefault="009C338C" w:rsidP="00336746">
      <w:pPr>
        <w:pStyle w:val="ListParagraph"/>
        <w:numPr>
          <w:ilvl w:val="0"/>
          <w:numId w:val="25"/>
        </w:numPr>
        <w:spacing w:before="120" w:after="120" w:line="259" w:lineRule="auto"/>
        <w:ind w:left="360"/>
        <w:contextualSpacing w:val="0"/>
        <w:jc w:val="both"/>
      </w:pPr>
      <w:r w:rsidRPr="009C338C">
        <w:t xml:space="preserve">You may recall that I had participated in a multi-stakeholder workgroup focused on Primary Care Quality Ratings.  A similar group has been convened to consider what and how to share pricing information from the All Payer Database (APD).  I have participated in two workgroup meetings thus far, with several more planned for the balance of 2020 and into 2021. </w:t>
      </w:r>
    </w:p>
    <w:p w:rsidR="00D9360D" w:rsidRPr="00336746" w:rsidRDefault="00D9360D" w:rsidP="00336746">
      <w:pPr>
        <w:pStyle w:val="ListParagraph"/>
        <w:numPr>
          <w:ilvl w:val="0"/>
          <w:numId w:val="25"/>
        </w:numPr>
        <w:spacing w:before="120" w:after="120" w:line="259" w:lineRule="auto"/>
        <w:ind w:left="360"/>
        <w:contextualSpacing w:val="0"/>
        <w:jc w:val="both"/>
        <w:rPr>
          <w:color w:val="000000" w:themeColor="text1"/>
        </w:rPr>
      </w:pPr>
      <w:r>
        <w:t xml:space="preserve">I continue to remain very active on the boards of Columbia Memorial Health, Twin County Recovery Services, the New York State Association for Rural Health, and the Catskill-Hudson Area Health Education Center, as well as the Columbia County Community Services Board and its Alcohol and Substance Abuse Committee, which I currently chair. </w:t>
      </w:r>
    </w:p>
    <w:sectPr w:rsidR="00D9360D" w:rsidRPr="00336746" w:rsidSect="00294F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FD" w:rsidRDefault="00D50EFD" w:rsidP="00D50EFD">
      <w:r>
        <w:separator/>
      </w:r>
    </w:p>
  </w:endnote>
  <w:endnote w:type="continuationSeparator" w:id="0">
    <w:p w:rsidR="00D50EFD" w:rsidRDefault="00D50EFD" w:rsidP="00D5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FD" w:rsidRDefault="00D50EFD" w:rsidP="00D50EFD">
      <w:r>
        <w:separator/>
      </w:r>
    </w:p>
  </w:footnote>
  <w:footnote w:type="continuationSeparator" w:id="0">
    <w:p w:rsidR="00D50EFD" w:rsidRDefault="00D50EFD" w:rsidP="00D50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143"/>
    <w:multiLevelType w:val="hybridMultilevel"/>
    <w:tmpl w:val="DED8A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318A8"/>
    <w:multiLevelType w:val="hybridMultilevel"/>
    <w:tmpl w:val="2DB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24634"/>
    <w:multiLevelType w:val="hybridMultilevel"/>
    <w:tmpl w:val="4BE61C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959BF"/>
    <w:multiLevelType w:val="hybridMultilevel"/>
    <w:tmpl w:val="967A5E9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11462B5"/>
    <w:multiLevelType w:val="hybridMultilevel"/>
    <w:tmpl w:val="64521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4D75E0"/>
    <w:multiLevelType w:val="hybridMultilevel"/>
    <w:tmpl w:val="DF4C05B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A3565F"/>
    <w:multiLevelType w:val="hybridMultilevel"/>
    <w:tmpl w:val="69CC29A8"/>
    <w:lvl w:ilvl="0" w:tplc="75C20E90">
      <w:numFmt w:val="bullet"/>
      <w:lvlText w:val="•"/>
      <w:lvlJc w:val="left"/>
      <w:pPr>
        <w:ind w:left="1008" w:hanging="720"/>
      </w:pPr>
      <w:rPr>
        <w:rFonts w:ascii="Calibri" w:eastAsia="Calibri" w:hAnsi="Calibri" w:cs="Calibri"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1F9A0CC9"/>
    <w:multiLevelType w:val="hybridMultilevel"/>
    <w:tmpl w:val="6C265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A92425"/>
    <w:multiLevelType w:val="hybridMultilevel"/>
    <w:tmpl w:val="B8869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3062BE6"/>
    <w:multiLevelType w:val="hybridMultilevel"/>
    <w:tmpl w:val="B4D4CF64"/>
    <w:lvl w:ilvl="0" w:tplc="75C20E90">
      <w:numFmt w:val="bullet"/>
      <w:lvlText w:val="•"/>
      <w:lvlJc w:val="left"/>
      <w:pPr>
        <w:ind w:left="1008" w:hanging="720"/>
      </w:pPr>
      <w:rPr>
        <w:rFonts w:ascii="Calibri" w:eastAsia="Calibr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37D080E"/>
    <w:multiLevelType w:val="hybridMultilevel"/>
    <w:tmpl w:val="D3B458D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4D5E28"/>
    <w:multiLevelType w:val="hybridMultilevel"/>
    <w:tmpl w:val="CDFE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E6F8E"/>
    <w:multiLevelType w:val="hybridMultilevel"/>
    <w:tmpl w:val="E3105D3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46A4407D"/>
    <w:multiLevelType w:val="hybridMultilevel"/>
    <w:tmpl w:val="89589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C48181E"/>
    <w:multiLevelType w:val="hybridMultilevel"/>
    <w:tmpl w:val="D8B8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603A4"/>
    <w:multiLevelType w:val="hybridMultilevel"/>
    <w:tmpl w:val="469ADF4A"/>
    <w:lvl w:ilvl="0" w:tplc="75C20E90">
      <w:numFmt w:val="bullet"/>
      <w:lvlText w:val="•"/>
      <w:lvlJc w:val="left"/>
      <w:pPr>
        <w:ind w:left="720" w:hanging="72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1532C28"/>
    <w:multiLevelType w:val="hybridMultilevel"/>
    <w:tmpl w:val="7B666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143E84"/>
    <w:multiLevelType w:val="hybridMultilevel"/>
    <w:tmpl w:val="242AE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B35C69"/>
    <w:multiLevelType w:val="hybridMultilevel"/>
    <w:tmpl w:val="BDFE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30370B"/>
    <w:multiLevelType w:val="hybridMultilevel"/>
    <w:tmpl w:val="AFBAFA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2AC2853"/>
    <w:multiLevelType w:val="hybridMultilevel"/>
    <w:tmpl w:val="7EDC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9E6F9D"/>
    <w:multiLevelType w:val="hybridMultilevel"/>
    <w:tmpl w:val="52A4B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9E3DD7"/>
    <w:multiLevelType w:val="hybridMultilevel"/>
    <w:tmpl w:val="519A10B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7D573E95"/>
    <w:multiLevelType w:val="hybridMultilevel"/>
    <w:tmpl w:val="49CE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3"/>
  </w:num>
  <w:num w:numId="5">
    <w:abstractNumId w:val="17"/>
  </w:num>
  <w:num w:numId="6">
    <w:abstractNumId w:val="20"/>
  </w:num>
  <w:num w:numId="7">
    <w:abstractNumId w:val="0"/>
  </w:num>
  <w:num w:numId="8">
    <w:abstractNumId w:val="15"/>
  </w:num>
  <w:num w:numId="9">
    <w:abstractNumId w:val="10"/>
  </w:num>
  <w:num w:numId="10">
    <w:abstractNumId w:val="10"/>
  </w:num>
  <w:num w:numId="11">
    <w:abstractNumId w:val="9"/>
  </w:num>
  <w:num w:numId="12">
    <w:abstractNumId w:val="6"/>
  </w:num>
  <w:num w:numId="13">
    <w:abstractNumId w:val="19"/>
  </w:num>
  <w:num w:numId="14">
    <w:abstractNumId w:val="8"/>
  </w:num>
  <w:num w:numId="15">
    <w:abstractNumId w:val="18"/>
  </w:num>
  <w:num w:numId="16">
    <w:abstractNumId w:val="5"/>
  </w:num>
  <w:num w:numId="17">
    <w:abstractNumId w:val="16"/>
  </w:num>
  <w:num w:numId="18">
    <w:abstractNumId w:val="7"/>
  </w:num>
  <w:num w:numId="19">
    <w:abstractNumId w:val="12"/>
  </w:num>
  <w:num w:numId="20">
    <w:abstractNumId w:val="4"/>
  </w:num>
  <w:num w:numId="21">
    <w:abstractNumId w:val="2"/>
  </w:num>
  <w:num w:numId="22">
    <w:abstractNumId w:val="22"/>
  </w:num>
  <w:num w:numId="23">
    <w:abstractNumId w:val="23"/>
  </w:num>
  <w:num w:numId="24">
    <w:abstractNumId w:val="14"/>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7E4"/>
    <w:rsid w:val="00001559"/>
    <w:rsid w:val="00002634"/>
    <w:rsid w:val="00005995"/>
    <w:rsid w:val="00005CF4"/>
    <w:rsid w:val="00013F1B"/>
    <w:rsid w:val="000255CE"/>
    <w:rsid w:val="000314E7"/>
    <w:rsid w:val="00037CFB"/>
    <w:rsid w:val="000531A9"/>
    <w:rsid w:val="00054043"/>
    <w:rsid w:val="00060B52"/>
    <w:rsid w:val="000623A2"/>
    <w:rsid w:val="0006347A"/>
    <w:rsid w:val="0006723F"/>
    <w:rsid w:val="00097D3C"/>
    <w:rsid w:val="000A0F37"/>
    <w:rsid w:val="000B036F"/>
    <w:rsid w:val="000B3224"/>
    <w:rsid w:val="000C06AE"/>
    <w:rsid w:val="000E1226"/>
    <w:rsid w:val="000E203F"/>
    <w:rsid w:val="000F3E11"/>
    <w:rsid w:val="00112D9C"/>
    <w:rsid w:val="00134D2D"/>
    <w:rsid w:val="00136D20"/>
    <w:rsid w:val="00145A23"/>
    <w:rsid w:val="001477E4"/>
    <w:rsid w:val="00150598"/>
    <w:rsid w:val="001601C4"/>
    <w:rsid w:val="001731A5"/>
    <w:rsid w:val="00175360"/>
    <w:rsid w:val="00185264"/>
    <w:rsid w:val="0018648D"/>
    <w:rsid w:val="00192BA1"/>
    <w:rsid w:val="00194D09"/>
    <w:rsid w:val="00196503"/>
    <w:rsid w:val="001A40F2"/>
    <w:rsid w:val="001B0E62"/>
    <w:rsid w:val="001B38AF"/>
    <w:rsid w:val="001C3BA2"/>
    <w:rsid w:val="001C6B5D"/>
    <w:rsid w:val="001D03FF"/>
    <w:rsid w:val="001D67DA"/>
    <w:rsid w:val="001D68D0"/>
    <w:rsid w:val="001E22DC"/>
    <w:rsid w:val="001F2556"/>
    <w:rsid w:val="002027D3"/>
    <w:rsid w:val="002108AD"/>
    <w:rsid w:val="002121DD"/>
    <w:rsid w:val="002135B6"/>
    <w:rsid w:val="00214164"/>
    <w:rsid w:val="00226AE3"/>
    <w:rsid w:val="002454C8"/>
    <w:rsid w:val="002459AB"/>
    <w:rsid w:val="00251C2B"/>
    <w:rsid w:val="00253E60"/>
    <w:rsid w:val="00255922"/>
    <w:rsid w:val="00260826"/>
    <w:rsid w:val="00261CB8"/>
    <w:rsid w:val="00280606"/>
    <w:rsid w:val="0029068B"/>
    <w:rsid w:val="00291F14"/>
    <w:rsid w:val="00291FBA"/>
    <w:rsid w:val="002932E9"/>
    <w:rsid w:val="00293D64"/>
    <w:rsid w:val="00294F2A"/>
    <w:rsid w:val="002B0C25"/>
    <w:rsid w:val="002B140D"/>
    <w:rsid w:val="002B3D09"/>
    <w:rsid w:val="002B5779"/>
    <w:rsid w:val="002C4B0C"/>
    <w:rsid w:val="002E1AB0"/>
    <w:rsid w:val="002E79D6"/>
    <w:rsid w:val="002F38C5"/>
    <w:rsid w:val="00301B35"/>
    <w:rsid w:val="003177F7"/>
    <w:rsid w:val="0032062D"/>
    <w:rsid w:val="00321B58"/>
    <w:rsid w:val="00322A93"/>
    <w:rsid w:val="00326E7B"/>
    <w:rsid w:val="00336746"/>
    <w:rsid w:val="00353845"/>
    <w:rsid w:val="00362D1B"/>
    <w:rsid w:val="0037245C"/>
    <w:rsid w:val="00382637"/>
    <w:rsid w:val="003921A3"/>
    <w:rsid w:val="00395838"/>
    <w:rsid w:val="003A300A"/>
    <w:rsid w:val="003B5ED6"/>
    <w:rsid w:val="003C242D"/>
    <w:rsid w:val="003D5F47"/>
    <w:rsid w:val="003E561F"/>
    <w:rsid w:val="003F1318"/>
    <w:rsid w:val="003F419D"/>
    <w:rsid w:val="0040200B"/>
    <w:rsid w:val="0042796F"/>
    <w:rsid w:val="004303FA"/>
    <w:rsid w:val="00432B57"/>
    <w:rsid w:val="00432D3A"/>
    <w:rsid w:val="004342C2"/>
    <w:rsid w:val="00434311"/>
    <w:rsid w:val="0043638A"/>
    <w:rsid w:val="004404CC"/>
    <w:rsid w:val="0044542C"/>
    <w:rsid w:val="00451ED5"/>
    <w:rsid w:val="00455B69"/>
    <w:rsid w:val="00484036"/>
    <w:rsid w:val="00486CA3"/>
    <w:rsid w:val="004956A9"/>
    <w:rsid w:val="0049661E"/>
    <w:rsid w:val="004A311D"/>
    <w:rsid w:val="004B0D4E"/>
    <w:rsid w:val="004B74BD"/>
    <w:rsid w:val="004D484B"/>
    <w:rsid w:val="004E1EF8"/>
    <w:rsid w:val="004F54DB"/>
    <w:rsid w:val="004F58CC"/>
    <w:rsid w:val="004F7B32"/>
    <w:rsid w:val="005005B8"/>
    <w:rsid w:val="005012ED"/>
    <w:rsid w:val="0050777D"/>
    <w:rsid w:val="00523B9C"/>
    <w:rsid w:val="00524907"/>
    <w:rsid w:val="00525A8C"/>
    <w:rsid w:val="0052644C"/>
    <w:rsid w:val="00533D2F"/>
    <w:rsid w:val="00537485"/>
    <w:rsid w:val="00564FD5"/>
    <w:rsid w:val="00597ADD"/>
    <w:rsid w:val="00597D0B"/>
    <w:rsid w:val="005A308E"/>
    <w:rsid w:val="005B1B84"/>
    <w:rsid w:val="005B4C5B"/>
    <w:rsid w:val="005C0098"/>
    <w:rsid w:val="005C09E2"/>
    <w:rsid w:val="005C10E9"/>
    <w:rsid w:val="005D284C"/>
    <w:rsid w:val="005D4137"/>
    <w:rsid w:val="005E205A"/>
    <w:rsid w:val="005E540E"/>
    <w:rsid w:val="005E5C70"/>
    <w:rsid w:val="005E7DDC"/>
    <w:rsid w:val="005F45DC"/>
    <w:rsid w:val="00600A72"/>
    <w:rsid w:val="006040AE"/>
    <w:rsid w:val="00605780"/>
    <w:rsid w:val="00610957"/>
    <w:rsid w:val="00610F18"/>
    <w:rsid w:val="006111D3"/>
    <w:rsid w:val="006141FD"/>
    <w:rsid w:val="006179A2"/>
    <w:rsid w:val="00621BA8"/>
    <w:rsid w:val="00624002"/>
    <w:rsid w:val="00627173"/>
    <w:rsid w:val="006302D8"/>
    <w:rsid w:val="00632F05"/>
    <w:rsid w:val="006356DB"/>
    <w:rsid w:val="00644BD6"/>
    <w:rsid w:val="00645E11"/>
    <w:rsid w:val="00646406"/>
    <w:rsid w:val="006530E6"/>
    <w:rsid w:val="00655FC9"/>
    <w:rsid w:val="00676652"/>
    <w:rsid w:val="0067668F"/>
    <w:rsid w:val="006848DF"/>
    <w:rsid w:val="00684F9B"/>
    <w:rsid w:val="0069051A"/>
    <w:rsid w:val="006A33AD"/>
    <w:rsid w:val="006A5046"/>
    <w:rsid w:val="006C1945"/>
    <w:rsid w:val="006C2CAB"/>
    <w:rsid w:val="006C3A7C"/>
    <w:rsid w:val="006C6A30"/>
    <w:rsid w:val="006D629A"/>
    <w:rsid w:val="006E0B86"/>
    <w:rsid w:val="006E5515"/>
    <w:rsid w:val="006F2BC1"/>
    <w:rsid w:val="006F518E"/>
    <w:rsid w:val="006F6B64"/>
    <w:rsid w:val="006F6CEB"/>
    <w:rsid w:val="0070330D"/>
    <w:rsid w:val="00707AB6"/>
    <w:rsid w:val="00712812"/>
    <w:rsid w:val="007138C5"/>
    <w:rsid w:val="00723D6D"/>
    <w:rsid w:val="00726D02"/>
    <w:rsid w:val="007343FF"/>
    <w:rsid w:val="007354E5"/>
    <w:rsid w:val="00741AC4"/>
    <w:rsid w:val="007427BA"/>
    <w:rsid w:val="00750C49"/>
    <w:rsid w:val="00751739"/>
    <w:rsid w:val="00760E13"/>
    <w:rsid w:val="00761CB6"/>
    <w:rsid w:val="00764793"/>
    <w:rsid w:val="007668EB"/>
    <w:rsid w:val="00774016"/>
    <w:rsid w:val="00776020"/>
    <w:rsid w:val="00776804"/>
    <w:rsid w:val="00780307"/>
    <w:rsid w:val="00781B88"/>
    <w:rsid w:val="00784D8A"/>
    <w:rsid w:val="007871B9"/>
    <w:rsid w:val="007A16EC"/>
    <w:rsid w:val="007A7B98"/>
    <w:rsid w:val="007B6BAE"/>
    <w:rsid w:val="007D0BB2"/>
    <w:rsid w:val="007D2D72"/>
    <w:rsid w:val="007E303D"/>
    <w:rsid w:val="007E6B49"/>
    <w:rsid w:val="007E775B"/>
    <w:rsid w:val="00800EA4"/>
    <w:rsid w:val="008013E9"/>
    <w:rsid w:val="00811253"/>
    <w:rsid w:val="008124E4"/>
    <w:rsid w:val="00813A5B"/>
    <w:rsid w:val="00820188"/>
    <w:rsid w:val="0083350E"/>
    <w:rsid w:val="008376DC"/>
    <w:rsid w:val="008416C3"/>
    <w:rsid w:val="00842995"/>
    <w:rsid w:val="00842B71"/>
    <w:rsid w:val="008430EB"/>
    <w:rsid w:val="008444B1"/>
    <w:rsid w:val="00851251"/>
    <w:rsid w:val="00853A2C"/>
    <w:rsid w:val="008639CC"/>
    <w:rsid w:val="00865197"/>
    <w:rsid w:val="00870042"/>
    <w:rsid w:val="00870380"/>
    <w:rsid w:val="00872B6B"/>
    <w:rsid w:val="00874A57"/>
    <w:rsid w:val="008975BE"/>
    <w:rsid w:val="008C1118"/>
    <w:rsid w:val="008C1189"/>
    <w:rsid w:val="008D4814"/>
    <w:rsid w:val="008E7EC2"/>
    <w:rsid w:val="008F3426"/>
    <w:rsid w:val="008F69FF"/>
    <w:rsid w:val="00911AD8"/>
    <w:rsid w:val="00911DE5"/>
    <w:rsid w:val="00912849"/>
    <w:rsid w:val="00914AC1"/>
    <w:rsid w:val="0091521C"/>
    <w:rsid w:val="009316B2"/>
    <w:rsid w:val="009348A0"/>
    <w:rsid w:val="0094624C"/>
    <w:rsid w:val="00961084"/>
    <w:rsid w:val="009671C0"/>
    <w:rsid w:val="00975C7E"/>
    <w:rsid w:val="0098174A"/>
    <w:rsid w:val="00997B33"/>
    <w:rsid w:val="009A1607"/>
    <w:rsid w:val="009A6AAE"/>
    <w:rsid w:val="009A7F7F"/>
    <w:rsid w:val="009B375E"/>
    <w:rsid w:val="009B441D"/>
    <w:rsid w:val="009B7CD6"/>
    <w:rsid w:val="009C0804"/>
    <w:rsid w:val="009C292A"/>
    <w:rsid w:val="009C338C"/>
    <w:rsid w:val="009C461C"/>
    <w:rsid w:val="009C67F6"/>
    <w:rsid w:val="009D49EE"/>
    <w:rsid w:val="009D5E8E"/>
    <w:rsid w:val="009D7FA6"/>
    <w:rsid w:val="009E2729"/>
    <w:rsid w:val="009F4249"/>
    <w:rsid w:val="00A05BD7"/>
    <w:rsid w:val="00A152A5"/>
    <w:rsid w:val="00A20F19"/>
    <w:rsid w:val="00A31A84"/>
    <w:rsid w:val="00A440DB"/>
    <w:rsid w:val="00A50FAF"/>
    <w:rsid w:val="00A573EE"/>
    <w:rsid w:val="00A606DB"/>
    <w:rsid w:val="00A826BD"/>
    <w:rsid w:val="00A843CC"/>
    <w:rsid w:val="00A91AE1"/>
    <w:rsid w:val="00A9460C"/>
    <w:rsid w:val="00AA0065"/>
    <w:rsid w:val="00AA3A70"/>
    <w:rsid w:val="00AA618D"/>
    <w:rsid w:val="00AB4DD7"/>
    <w:rsid w:val="00AB74F1"/>
    <w:rsid w:val="00AC0E78"/>
    <w:rsid w:val="00AC4F54"/>
    <w:rsid w:val="00AC5969"/>
    <w:rsid w:val="00AD0F42"/>
    <w:rsid w:val="00AE299C"/>
    <w:rsid w:val="00AE392E"/>
    <w:rsid w:val="00B1548D"/>
    <w:rsid w:val="00B17D9F"/>
    <w:rsid w:val="00B21963"/>
    <w:rsid w:val="00B2253C"/>
    <w:rsid w:val="00B433BC"/>
    <w:rsid w:val="00B50EBA"/>
    <w:rsid w:val="00B53141"/>
    <w:rsid w:val="00B6138C"/>
    <w:rsid w:val="00B70AD7"/>
    <w:rsid w:val="00B80E14"/>
    <w:rsid w:val="00B81747"/>
    <w:rsid w:val="00B81EBA"/>
    <w:rsid w:val="00B82655"/>
    <w:rsid w:val="00BA02F0"/>
    <w:rsid w:val="00BA563A"/>
    <w:rsid w:val="00BC4D23"/>
    <w:rsid w:val="00BC6A40"/>
    <w:rsid w:val="00BD103F"/>
    <w:rsid w:val="00BD42F6"/>
    <w:rsid w:val="00BD67E8"/>
    <w:rsid w:val="00BE0ED3"/>
    <w:rsid w:val="00BE23F9"/>
    <w:rsid w:val="00BF7A0D"/>
    <w:rsid w:val="00C01F5B"/>
    <w:rsid w:val="00C03303"/>
    <w:rsid w:val="00C0493E"/>
    <w:rsid w:val="00C13504"/>
    <w:rsid w:val="00C2211A"/>
    <w:rsid w:val="00C237D9"/>
    <w:rsid w:val="00C249B6"/>
    <w:rsid w:val="00C419DD"/>
    <w:rsid w:val="00C51147"/>
    <w:rsid w:val="00C53EB2"/>
    <w:rsid w:val="00C558C2"/>
    <w:rsid w:val="00C62AA0"/>
    <w:rsid w:val="00C72495"/>
    <w:rsid w:val="00C75F1F"/>
    <w:rsid w:val="00C80252"/>
    <w:rsid w:val="00C81B17"/>
    <w:rsid w:val="00C84CB0"/>
    <w:rsid w:val="00C86E64"/>
    <w:rsid w:val="00C8754A"/>
    <w:rsid w:val="00C876C6"/>
    <w:rsid w:val="00C9127C"/>
    <w:rsid w:val="00C95030"/>
    <w:rsid w:val="00CA1EE6"/>
    <w:rsid w:val="00CC35FC"/>
    <w:rsid w:val="00CC52DC"/>
    <w:rsid w:val="00CE6BF9"/>
    <w:rsid w:val="00D02507"/>
    <w:rsid w:val="00D049EE"/>
    <w:rsid w:val="00D15E62"/>
    <w:rsid w:val="00D177A6"/>
    <w:rsid w:val="00D50EFD"/>
    <w:rsid w:val="00D523D6"/>
    <w:rsid w:val="00D53094"/>
    <w:rsid w:val="00D65ED5"/>
    <w:rsid w:val="00D71898"/>
    <w:rsid w:val="00D75B6C"/>
    <w:rsid w:val="00D76CC5"/>
    <w:rsid w:val="00D83EEE"/>
    <w:rsid w:val="00D86F0F"/>
    <w:rsid w:val="00D871A5"/>
    <w:rsid w:val="00D91013"/>
    <w:rsid w:val="00D9360D"/>
    <w:rsid w:val="00DA2608"/>
    <w:rsid w:val="00DA2F14"/>
    <w:rsid w:val="00DB0E17"/>
    <w:rsid w:val="00DB6975"/>
    <w:rsid w:val="00DC1F36"/>
    <w:rsid w:val="00DC29E5"/>
    <w:rsid w:val="00DC2CF6"/>
    <w:rsid w:val="00DD1BCE"/>
    <w:rsid w:val="00DD330D"/>
    <w:rsid w:val="00DD7F85"/>
    <w:rsid w:val="00DE3ABD"/>
    <w:rsid w:val="00DF4B01"/>
    <w:rsid w:val="00E13F00"/>
    <w:rsid w:val="00E1777A"/>
    <w:rsid w:val="00E21014"/>
    <w:rsid w:val="00E22FBE"/>
    <w:rsid w:val="00E31E76"/>
    <w:rsid w:val="00E360FC"/>
    <w:rsid w:val="00E426A3"/>
    <w:rsid w:val="00E45CAC"/>
    <w:rsid w:val="00E50B71"/>
    <w:rsid w:val="00E627B0"/>
    <w:rsid w:val="00E67064"/>
    <w:rsid w:val="00EA3E74"/>
    <w:rsid w:val="00EB502E"/>
    <w:rsid w:val="00EC1A79"/>
    <w:rsid w:val="00ED7410"/>
    <w:rsid w:val="00EE7076"/>
    <w:rsid w:val="00EF0480"/>
    <w:rsid w:val="00EF38A5"/>
    <w:rsid w:val="00EF7CC4"/>
    <w:rsid w:val="00F114BB"/>
    <w:rsid w:val="00F14441"/>
    <w:rsid w:val="00F37420"/>
    <w:rsid w:val="00F432D8"/>
    <w:rsid w:val="00F43B5D"/>
    <w:rsid w:val="00F52D2C"/>
    <w:rsid w:val="00F77684"/>
    <w:rsid w:val="00F834F7"/>
    <w:rsid w:val="00F84DD8"/>
    <w:rsid w:val="00FA3806"/>
    <w:rsid w:val="00FA5F2F"/>
    <w:rsid w:val="00FA7EEF"/>
    <w:rsid w:val="00FB57CC"/>
    <w:rsid w:val="00FC18F3"/>
    <w:rsid w:val="00FD0897"/>
    <w:rsid w:val="00FD139F"/>
    <w:rsid w:val="00FD238A"/>
    <w:rsid w:val="00FD323B"/>
    <w:rsid w:val="00FE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A257D5"/>
  <w15:chartTrackingRefBased/>
  <w15:docId w15:val="{6A47FF0E-F557-4279-B4B6-5079BFCD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E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7E4"/>
    <w:pPr>
      <w:ind w:left="720"/>
      <w:contextualSpacing/>
    </w:pPr>
  </w:style>
  <w:style w:type="paragraph" w:styleId="BalloonText">
    <w:name w:val="Balloon Text"/>
    <w:basedOn w:val="Normal"/>
    <w:link w:val="BalloonTextChar"/>
    <w:uiPriority w:val="99"/>
    <w:semiHidden/>
    <w:unhideWhenUsed/>
    <w:rsid w:val="00B2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53C"/>
    <w:rPr>
      <w:rFonts w:ascii="Segoe UI" w:hAnsi="Segoe UI" w:cs="Segoe UI"/>
      <w:sz w:val="18"/>
      <w:szCs w:val="18"/>
    </w:rPr>
  </w:style>
  <w:style w:type="character" w:styleId="Hyperlink">
    <w:name w:val="Hyperlink"/>
    <w:basedOn w:val="DefaultParagraphFont"/>
    <w:uiPriority w:val="99"/>
    <w:semiHidden/>
    <w:unhideWhenUsed/>
    <w:rsid w:val="00800EA4"/>
    <w:rPr>
      <w:color w:val="0000FF"/>
      <w:u w:val="single"/>
    </w:rPr>
  </w:style>
  <w:style w:type="paragraph" w:styleId="Header">
    <w:name w:val="header"/>
    <w:basedOn w:val="Normal"/>
    <w:link w:val="HeaderChar"/>
    <w:uiPriority w:val="99"/>
    <w:unhideWhenUsed/>
    <w:rsid w:val="00D50EFD"/>
    <w:pPr>
      <w:tabs>
        <w:tab w:val="center" w:pos="4680"/>
        <w:tab w:val="right" w:pos="9360"/>
      </w:tabs>
    </w:pPr>
  </w:style>
  <w:style w:type="character" w:customStyle="1" w:styleId="HeaderChar">
    <w:name w:val="Header Char"/>
    <w:basedOn w:val="DefaultParagraphFont"/>
    <w:link w:val="Header"/>
    <w:uiPriority w:val="99"/>
    <w:rsid w:val="00D50EFD"/>
    <w:rPr>
      <w:rFonts w:ascii="Times New Roman" w:hAnsi="Times New Roman" w:cs="Times New Roman"/>
      <w:sz w:val="24"/>
      <w:szCs w:val="24"/>
    </w:rPr>
  </w:style>
  <w:style w:type="paragraph" w:styleId="Footer">
    <w:name w:val="footer"/>
    <w:basedOn w:val="Normal"/>
    <w:link w:val="FooterChar"/>
    <w:uiPriority w:val="99"/>
    <w:unhideWhenUsed/>
    <w:rsid w:val="00D50EFD"/>
    <w:pPr>
      <w:tabs>
        <w:tab w:val="center" w:pos="4680"/>
        <w:tab w:val="right" w:pos="9360"/>
      </w:tabs>
    </w:pPr>
  </w:style>
  <w:style w:type="character" w:customStyle="1" w:styleId="FooterChar">
    <w:name w:val="Footer Char"/>
    <w:basedOn w:val="DefaultParagraphFont"/>
    <w:link w:val="Footer"/>
    <w:uiPriority w:val="99"/>
    <w:rsid w:val="00D50E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185">
      <w:bodyDiv w:val="1"/>
      <w:marLeft w:val="0"/>
      <w:marRight w:val="0"/>
      <w:marTop w:val="0"/>
      <w:marBottom w:val="0"/>
      <w:divBdr>
        <w:top w:val="none" w:sz="0" w:space="0" w:color="auto"/>
        <w:left w:val="none" w:sz="0" w:space="0" w:color="auto"/>
        <w:bottom w:val="none" w:sz="0" w:space="0" w:color="auto"/>
        <w:right w:val="none" w:sz="0" w:space="0" w:color="auto"/>
      </w:divBdr>
    </w:div>
    <w:div w:id="270405828">
      <w:bodyDiv w:val="1"/>
      <w:marLeft w:val="0"/>
      <w:marRight w:val="0"/>
      <w:marTop w:val="0"/>
      <w:marBottom w:val="0"/>
      <w:divBdr>
        <w:top w:val="none" w:sz="0" w:space="0" w:color="auto"/>
        <w:left w:val="none" w:sz="0" w:space="0" w:color="auto"/>
        <w:bottom w:val="none" w:sz="0" w:space="0" w:color="auto"/>
        <w:right w:val="none" w:sz="0" w:space="0" w:color="auto"/>
      </w:divBdr>
    </w:div>
    <w:div w:id="486097862">
      <w:bodyDiv w:val="1"/>
      <w:marLeft w:val="0"/>
      <w:marRight w:val="0"/>
      <w:marTop w:val="0"/>
      <w:marBottom w:val="0"/>
      <w:divBdr>
        <w:top w:val="none" w:sz="0" w:space="0" w:color="auto"/>
        <w:left w:val="none" w:sz="0" w:space="0" w:color="auto"/>
        <w:bottom w:val="none" w:sz="0" w:space="0" w:color="auto"/>
        <w:right w:val="none" w:sz="0" w:space="0" w:color="auto"/>
      </w:divBdr>
    </w:div>
    <w:div w:id="812987305">
      <w:bodyDiv w:val="1"/>
      <w:marLeft w:val="0"/>
      <w:marRight w:val="0"/>
      <w:marTop w:val="0"/>
      <w:marBottom w:val="0"/>
      <w:divBdr>
        <w:top w:val="none" w:sz="0" w:space="0" w:color="auto"/>
        <w:left w:val="none" w:sz="0" w:space="0" w:color="auto"/>
        <w:bottom w:val="none" w:sz="0" w:space="0" w:color="auto"/>
        <w:right w:val="none" w:sz="0" w:space="0" w:color="auto"/>
      </w:divBdr>
    </w:div>
    <w:div w:id="1364356380">
      <w:bodyDiv w:val="1"/>
      <w:marLeft w:val="0"/>
      <w:marRight w:val="0"/>
      <w:marTop w:val="0"/>
      <w:marBottom w:val="0"/>
      <w:divBdr>
        <w:top w:val="none" w:sz="0" w:space="0" w:color="auto"/>
        <w:left w:val="none" w:sz="0" w:space="0" w:color="auto"/>
        <w:bottom w:val="none" w:sz="0" w:space="0" w:color="auto"/>
        <w:right w:val="none" w:sz="0" w:space="0" w:color="auto"/>
      </w:divBdr>
    </w:div>
    <w:div w:id="1466853748">
      <w:bodyDiv w:val="1"/>
      <w:marLeft w:val="0"/>
      <w:marRight w:val="0"/>
      <w:marTop w:val="0"/>
      <w:marBottom w:val="0"/>
      <w:divBdr>
        <w:top w:val="none" w:sz="0" w:space="0" w:color="auto"/>
        <w:left w:val="none" w:sz="0" w:space="0" w:color="auto"/>
        <w:bottom w:val="none" w:sz="0" w:space="0" w:color="auto"/>
        <w:right w:val="none" w:sz="0" w:space="0" w:color="auto"/>
      </w:divBdr>
    </w:div>
    <w:div w:id="1619020524">
      <w:bodyDiv w:val="1"/>
      <w:marLeft w:val="0"/>
      <w:marRight w:val="0"/>
      <w:marTop w:val="0"/>
      <w:marBottom w:val="0"/>
      <w:divBdr>
        <w:top w:val="none" w:sz="0" w:space="0" w:color="auto"/>
        <w:left w:val="none" w:sz="0" w:space="0" w:color="auto"/>
        <w:bottom w:val="none" w:sz="0" w:space="0" w:color="auto"/>
        <w:right w:val="none" w:sz="0" w:space="0" w:color="auto"/>
      </w:divBdr>
    </w:div>
    <w:div w:id="1673531683">
      <w:bodyDiv w:val="1"/>
      <w:marLeft w:val="0"/>
      <w:marRight w:val="0"/>
      <w:marTop w:val="0"/>
      <w:marBottom w:val="0"/>
      <w:divBdr>
        <w:top w:val="none" w:sz="0" w:space="0" w:color="auto"/>
        <w:left w:val="none" w:sz="0" w:space="0" w:color="auto"/>
        <w:bottom w:val="none" w:sz="0" w:space="0" w:color="auto"/>
        <w:right w:val="none" w:sz="0" w:space="0" w:color="auto"/>
      </w:divBdr>
    </w:div>
    <w:div w:id="1772578801">
      <w:bodyDiv w:val="1"/>
      <w:marLeft w:val="0"/>
      <w:marRight w:val="0"/>
      <w:marTop w:val="0"/>
      <w:marBottom w:val="0"/>
      <w:divBdr>
        <w:top w:val="none" w:sz="0" w:space="0" w:color="auto"/>
        <w:left w:val="none" w:sz="0" w:space="0" w:color="auto"/>
        <w:bottom w:val="none" w:sz="0" w:space="0" w:color="auto"/>
        <w:right w:val="none" w:sz="0" w:space="0" w:color="auto"/>
      </w:divBdr>
    </w:div>
    <w:div w:id="1892690844">
      <w:bodyDiv w:val="1"/>
      <w:marLeft w:val="0"/>
      <w:marRight w:val="0"/>
      <w:marTop w:val="0"/>
      <w:marBottom w:val="0"/>
      <w:divBdr>
        <w:top w:val="none" w:sz="0" w:space="0" w:color="auto"/>
        <w:left w:val="none" w:sz="0" w:space="0" w:color="auto"/>
        <w:bottom w:val="none" w:sz="0" w:space="0" w:color="auto"/>
        <w:right w:val="none" w:sz="0" w:space="0" w:color="auto"/>
      </w:divBdr>
    </w:div>
    <w:div w:id="1898013203">
      <w:bodyDiv w:val="1"/>
      <w:marLeft w:val="0"/>
      <w:marRight w:val="0"/>
      <w:marTop w:val="0"/>
      <w:marBottom w:val="0"/>
      <w:divBdr>
        <w:top w:val="none" w:sz="0" w:space="0" w:color="auto"/>
        <w:left w:val="none" w:sz="0" w:space="0" w:color="auto"/>
        <w:bottom w:val="none" w:sz="0" w:space="0" w:color="auto"/>
        <w:right w:val="none" w:sz="0" w:space="0" w:color="auto"/>
      </w:divBdr>
    </w:div>
    <w:div w:id="2016421790">
      <w:bodyDiv w:val="1"/>
      <w:marLeft w:val="0"/>
      <w:marRight w:val="0"/>
      <w:marTop w:val="0"/>
      <w:marBottom w:val="0"/>
      <w:divBdr>
        <w:top w:val="none" w:sz="0" w:space="0" w:color="auto"/>
        <w:left w:val="none" w:sz="0" w:space="0" w:color="auto"/>
        <w:bottom w:val="none" w:sz="0" w:space="0" w:color="auto"/>
        <w:right w:val="none" w:sz="0" w:space="0" w:color="auto"/>
      </w:divBdr>
    </w:div>
    <w:div w:id="2024701092">
      <w:bodyDiv w:val="1"/>
      <w:marLeft w:val="0"/>
      <w:marRight w:val="0"/>
      <w:marTop w:val="0"/>
      <w:marBottom w:val="0"/>
      <w:divBdr>
        <w:top w:val="none" w:sz="0" w:space="0" w:color="auto"/>
        <w:left w:val="none" w:sz="0" w:space="0" w:color="auto"/>
        <w:bottom w:val="none" w:sz="0" w:space="0" w:color="auto"/>
        <w:right w:val="none" w:sz="0" w:space="0" w:color="auto"/>
      </w:divBdr>
    </w:div>
    <w:div w:id="2098285191">
      <w:bodyDiv w:val="1"/>
      <w:marLeft w:val="0"/>
      <w:marRight w:val="0"/>
      <w:marTop w:val="0"/>
      <w:marBottom w:val="0"/>
      <w:divBdr>
        <w:top w:val="none" w:sz="0" w:space="0" w:color="auto"/>
        <w:left w:val="none" w:sz="0" w:space="0" w:color="auto"/>
        <w:bottom w:val="none" w:sz="0" w:space="0" w:color="auto"/>
        <w:right w:val="none" w:sz="0" w:space="0" w:color="auto"/>
      </w:divBdr>
    </w:div>
    <w:div w:id="2104955305">
      <w:bodyDiv w:val="1"/>
      <w:marLeft w:val="0"/>
      <w:marRight w:val="0"/>
      <w:marTop w:val="0"/>
      <w:marBottom w:val="0"/>
      <w:divBdr>
        <w:top w:val="none" w:sz="0" w:space="0" w:color="auto"/>
        <w:left w:val="none" w:sz="0" w:space="0" w:color="auto"/>
        <w:bottom w:val="none" w:sz="0" w:space="0" w:color="auto"/>
        <w:right w:val="none" w:sz="0" w:space="0" w:color="auto"/>
      </w:divBdr>
    </w:div>
    <w:div w:id="21285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Claire Parde</cp:lastModifiedBy>
  <cp:revision>4</cp:revision>
  <cp:lastPrinted>2019-02-06T16:55:00Z</cp:lastPrinted>
  <dcterms:created xsi:type="dcterms:W3CDTF">2020-10-06T15:31:00Z</dcterms:created>
  <dcterms:modified xsi:type="dcterms:W3CDTF">2020-10-06T16:52:00Z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-1825444919</vt:i4>
  </property>
</Properties>
</file>