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E6" w:rsidRPr="009D5E8E" w:rsidRDefault="00D50EFD" w:rsidP="00DD1BCE">
      <w:pPr>
        <w:spacing w:line="259" w:lineRule="auto"/>
        <w:jc w:val="both"/>
        <w:rPr>
          <w:b/>
          <w:color w:val="000000" w:themeColor="text1"/>
        </w:rPr>
      </w:pPr>
      <w:r w:rsidRPr="009D5E8E">
        <w:rPr>
          <w:b/>
          <w:noProof/>
          <w:color w:val="000000" w:themeColor="text1"/>
        </w:rPr>
        <w:drawing>
          <wp:anchor distT="0" distB="0" distL="114300" distR="114300" simplePos="0" relativeHeight="251658240" behindDoc="1" locked="0" layoutInCell="1" allowOverlap="1">
            <wp:simplePos x="0" y="0"/>
            <wp:positionH relativeFrom="margin">
              <wp:align>center</wp:align>
            </wp:positionH>
            <wp:positionV relativeFrom="paragraph">
              <wp:posOffset>-7687</wp:posOffset>
            </wp:positionV>
            <wp:extent cx="5325745" cy="8858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325745" cy="885825"/>
                    </a:xfrm>
                    <a:prstGeom prst="rect">
                      <a:avLst/>
                    </a:prstGeom>
                  </pic:spPr>
                </pic:pic>
              </a:graphicData>
            </a:graphic>
          </wp:anchor>
        </w:drawing>
      </w:r>
    </w:p>
    <w:p w:rsidR="008C1118" w:rsidRPr="009D5E8E" w:rsidRDefault="00D50EFD" w:rsidP="00DD1BCE">
      <w:pPr>
        <w:tabs>
          <w:tab w:val="left" w:pos="8205"/>
        </w:tabs>
        <w:spacing w:line="259" w:lineRule="auto"/>
        <w:jc w:val="both"/>
        <w:rPr>
          <w:b/>
          <w:color w:val="000000" w:themeColor="text1"/>
        </w:rPr>
      </w:pPr>
      <w:r w:rsidRPr="009D5E8E">
        <w:rPr>
          <w:b/>
          <w:color w:val="000000" w:themeColor="text1"/>
        </w:rPr>
        <w:tab/>
      </w:r>
    </w:p>
    <w:p w:rsidR="00D50EFD" w:rsidRPr="009D5E8E" w:rsidRDefault="00D50EFD" w:rsidP="00DD1BCE">
      <w:pPr>
        <w:spacing w:line="259" w:lineRule="auto"/>
        <w:jc w:val="both"/>
        <w:rPr>
          <w:b/>
          <w:color w:val="000000" w:themeColor="text1"/>
        </w:rPr>
      </w:pPr>
    </w:p>
    <w:p w:rsidR="00D50EFD" w:rsidRPr="009D5E8E" w:rsidRDefault="00D50EFD" w:rsidP="00DD1BCE">
      <w:pPr>
        <w:spacing w:before="120" w:line="259" w:lineRule="auto"/>
        <w:jc w:val="both"/>
        <w:rPr>
          <w:b/>
          <w:color w:val="000000" w:themeColor="text1"/>
        </w:rPr>
      </w:pPr>
    </w:p>
    <w:p w:rsidR="00C558C2" w:rsidRDefault="00C558C2" w:rsidP="00DD1BCE">
      <w:pPr>
        <w:spacing w:before="120" w:line="259" w:lineRule="auto"/>
        <w:jc w:val="center"/>
        <w:rPr>
          <w:b/>
          <w:color w:val="000000" w:themeColor="text1"/>
          <w:sz w:val="28"/>
        </w:rPr>
      </w:pPr>
    </w:p>
    <w:p w:rsidR="008C1118" w:rsidRPr="009D5E8E" w:rsidRDefault="0091521C" w:rsidP="00DD1BCE">
      <w:pPr>
        <w:spacing w:before="120" w:line="259" w:lineRule="auto"/>
        <w:jc w:val="center"/>
        <w:rPr>
          <w:b/>
          <w:color w:val="000000" w:themeColor="text1"/>
          <w:sz w:val="28"/>
        </w:rPr>
      </w:pPr>
      <w:r w:rsidRPr="009D5E8E">
        <w:rPr>
          <w:b/>
          <w:color w:val="000000" w:themeColor="text1"/>
          <w:sz w:val="28"/>
        </w:rPr>
        <w:t xml:space="preserve">Executive Director’s </w:t>
      </w:r>
      <w:r w:rsidR="00781B88" w:rsidRPr="009D5E8E">
        <w:rPr>
          <w:b/>
          <w:color w:val="000000" w:themeColor="text1"/>
          <w:sz w:val="28"/>
        </w:rPr>
        <w:t xml:space="preserve">Report to </w:t>
      </w:r>
      <w:r w:rsidR="00B81747" w:rsidRPr="009D5E8E">
        <w:rPr>
          <w:b/>
          <w:color w:val="000000" w:themeColor="text1"/>
          <w:sz w:val="28"/>
        </w:rPr>
        <w:t xml:space="preserve">the </w:t>
      </w:r>
      <w:r w:rsidR="00C03303">
        <w:rPr>
          <w:b/>
          <w:color w:val="000000" w:themeColor="text1"/>
          <w:sz w:val="28"/>
        </w:rPr>
        <w:t>Board</w:t>
      </w:r>
    </w:p>
    <w:p w:rsidR="001477E4" w:rsidRPr="009D5E8E" w:rsidRDefault="0053014E" w:rsidP="00DD1BCE">
      <w:pPr>
        <w:spacing w:line="259" w:lineRule="auto"/>
        <w:jc w:val="center"/>
        <w:rPr>
          <w:color w:val="000000" w:themeColor="text1"/>
          <w:sz w:val="28"/>
        </w:rPr>
      </w:pPr>
      <w:r>
        <w:rPr>
          <w:b/>
          <w:color w:val="000000" w:themeColor="text1"/>
          <w:sz w:val="28"/>
        </w:rPr>
        <w:t>December 2</w:t>
      </w:r>
      <w:r w:rsidR="009D5E8E" w:rsidRPr="009D5E8E">
        <w:rPr>
          <w:b/>
          <w:color w:val="000000" w:themeColor="text1"/>
          <w:sz w:val="28"/>
        </w:rPr>
        <w:t>, 2020</w:t>
      </w:r>
    </w:p>
    <w:p w:rsidR="009D5E8E" w:rsidRPr="009D5E8E" w:rsidRDefault="009D5E8E" w:rsidP="00DD1BCE">
      <w:pPr>
        <w:spacing w:after="120" w:line="259" w:lineRule="auto"/>
        <w:jc w:val="both"/>
        <w:rPr>
          <w:b/>
          <w:color w:val="000000" w:themeColor="text1"/>
          <w:sz w:val="28"/>
        </w:rPr>
      </w:pPr>
      <w:r w:rsidRPr="009D5E8E">
        <w:rPr>
          <w:b/>
          <w:color w:val="000000" w:themeColor="text1"/>
          <w:sz w:val="28"/>
        </w:rPr>
        <w:t>Current Program Updates</w:t>
      </w:r>
    </w:p>
    <w:p w:rsidR="005E7DDC" w:rsidRPr="00636FAB" w:rsidRDefault="005E7DDC" w:rsidP="00DD1BCE">
      <w:pPr>
        <w:spacing w:after="60" w:line="259" w:lineRule="auto"/>
        <w:ind w:left="288" w:right="288"/>
        <w:rPr>
          <w:b/>
          <w:color w:val="000000" w:themeColor="text1"/>
          <w:sz w:val="28"/>
        </w:rPr>
      </w:pPr>
      <w:r w:rsidRPr="00636FAB">
        <w:rPr>
          <w:b/>
          <w:color w:val="000000" w:themeColor="text1"/>
          <w:sz w:val="28"/>
        </w:rPr>
        <w:t>CARTS</w:t>
      </w:r>
    </w:p>
    <w:p w:rsidR="00BD103F" w:rsidRDefault="00097D3C" w:rsidP="00DD1BCE">
      <w:pPr>
        <w:spacing w:line="259" w:lineRule="auto"/>
        <w:ind w:left="288"/>
        <w:jc w:val="both"/>
        <w:rPr>
          <w:color w:val="000000" w:themeColor="text1"/>
        </w:rPr>
      </w:pPr>
      <w:r>
        <w:rPr>
          <w:color w:val="000000" w:themeColor="text1"/>
        </w:rPr>
        <w:t xml:space="preserve">CARTS continues </w:t>
      </w:r>
      <w:r w:rsidR="00EE7076">
        <w:rPr>
          <w:color w:val="000000" w:themeColor="text1"/>
        </w:rPr>
        <w:t xml:space="preserve">to operate well below </w:t>
      </w:r>
      <w:r w:rsidR="00DD1BCE">
        <w:rPr>
          <w:color w:val="000000" w:themeColor="text1"/>
        </w:rPr>
        <w:t>the level at the outset of the pandemic</w:t>
      </w:r>
      <w:r>
        <w:rPr>
          <w:color w:val="000000" w:themeColor="text1"/>
        </w:rPr>
        <w:t xml:space="preserve">.  </w:t>
      </w:r>
      <w:r w:rsidR="00BD103F">
        <w:rPr>
          <w:color w:val="000000" w:themeColor="text1"/>
        </w:rPr>
        <w:t xml:space="preserve">The following charts depict </w:t>
      </w:r>
      <w:r w:rsidR="004F58CC">
        <w:rPr>
          <w:color w:val="000000" w:themeColor="text1"/>
        </w:rPr>
        <w:t>the number of rides and riders, respectively, by type, for a period starting in early March (our baseline week, before the effects of the pandemic we</w:t>
      </w:r>
      <w:r w:rsidR="009671C0">
        <w:rPr>
          <w:color w:val="000000" w:themeColor="text1"/>
        </w:rPr>
        <w:t xml:space="preserve">re widely felt) to the present. </w:t>
      </w:r>
    </w:p>
    <w:p w:rsidR="002108AD" w:rsidRDefault="00BD103F" w:rsidP="002108AD">
      <w:pPr>
        <w:spacing w:line="259" w:lineRule="auto"/>
        <w:ind w:left="288"/>
        <w:jc w:val="both"/>
        <w:rPr>
          <w:color w:val="000000" w:themeColor="text1"/>
        </w:rPr>
      </w:pPr>
      <w:r w:rsidRPr="00BD103F">
        <w:rPr>
          <w:noProof/>
        </w:rPr>
        <w:t xml:space="preserve"> </w:t>
      </w:r>
      <w:r w:rsidR="00097D3C" w:rsidRPr="000255CE">
        <w:rPr>
          <w:color w:val="000000" w:themeColor="text1"/>
        </w:rPr>
        <w:t xml:space="preserve"> </w:t>
      </w:r>
      <w:r w:rsidR="00EF11BD">
        <w:rPr>
          <w:noProof/>
          <w:color w:val="000000" w:themeColor="text1"/>
        </w:rPr>
        <w:drawing>
          <wp:inline distT="0" distB="0" distL="0" distR="0" wp14:anchorId="37079DB3">
            <wp:extent cx="6772275" cy="3009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2275" cy="3009900"/>
                    </a:xfrm>
                    <a:prstGeom prst="rect">
                      <a:avLst/>
                    </a:prstGeom>
                    <a:noFill/>
                  </pic:spPr>
                </pic:pic>
              </a:graphicData>
            </a:graphic>
          </wp:inline>
        </w:drawing>
      </w:r>
    </w:p>
    <w:p w:rsidR="00EF11BD" w:rsidRDefault="00EF11BD" w:rsidP="002108AD">
      <w:pPr>
        <w:spacing w:line="259" w:lineRule="auto"/>
        <w:ind w:left="288"/>
        <w:jc w:val="both"/>
        <w:rPr>
          <w:color w:val="000000" w:themeColor="text1"/>
        </w:rPr>
      </w:pPr>
      <w:r>
        <w:rPr>
          <w:noProof/>
          <w:color w:val="000000" w:themeColor="text1"/>
        </w:rPr>
        <w:drawing>
          <wp:inline distT="0" distB="0" distL="0" distR="0" wp14:anchorId="558BC2E7">
            <wp:extent cx="6772275" cy="2933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2275" cy="2933700"/>
                    </a:xfrm>
                    <a:prstGeom prst="rect">
                      <a:avLst/>
                    </a:prstGeom>
                    <a:noFill/>
                  </pic:spPr>
                </pic:pic>
              </a:graphicData>
            </a:graphic>
          </wp:inline>
        </w:drawing>
      </w:r>
    </w:p>
    <w:p w:rsidR="000C06AE" w:rsidRDefault="00EF11BD" w:rsidP="002108AD">
      <w:pPr>
        <w:spacing w:line="259" w:lineRule="auto"/>
        <w:ind w:left="288"/>
        <w:jc w:val="both"/>
        <w:rPr>
          <w:color w:val="000000" w:themeColor="text1"/>
        </w:rPr>
      </w:pPr>
      <w:r>
        <w:rPr>
          <w:color w:val="000000" w:themeColor="text1"/>
        </w:rPr>
        <w:lastRenderedPageBreak/>
        <w:t>W</w:t>
      </w:r>
      <w:r w:rsidR="002108AD">
        <w:rPr>
          <w:color w:val="000000" w:themeColor="text1"/>
        </w:rPr>
        <w:t xml:space="preserve">hile service delivery to non-Medicaid enrollees is </w:t>
      </w:r>
      <w:r w:rsidR="009671C0">
        <w:rPr>
          <w:color w:val="000000" w:themeColor="text1"/>
        </w:rPr>
        <w:t xml:space="preserve">about </w:t>
      </w:r>
      <w:r>
        <w:rPr>
          <w:color w:val="000000" w:themeColor="text1"/>
        </w:rPr>
        <w:t>7</w:t>
      </w:r>
      <w:r w:rsidR="009671C0">
        <w:rPr>
          <w:color w:val="000000" w:themeColor="text1"/>
        </w:rPr>
        <w:t xml:space="preserve">5% of what it </w:t>
      </w:r>
      <w:r>
        <w:rPr>
          <w:color w:val="000000" w:themeColor="text1"/>
        </w:rPr>
        <w:t xml:space="preserve">was during the same period last year, service delivery to Medicaid enrollees remains </w:t>
      </w:r>
      <w:r w:rsidR="000A7EDD">
        <w:rPr>
          <w:color w:val="000000" w:themeColor="text1"/>
        </w:rPr>
        <w:t xml:space="preserve">at </w:t>
      </w:r>
      <w:r>
        <w:rPr>
          <w:color w:val="000000" w:themeColor="text1"/>
        </w:rPr>
        <w:t>less than 25%</w:t>
      </w:r>
      <w:r w:rsidR="002108AD">
        <w:rPr>
          <w:color w:val="000000" w:themeColor="text1"/>
        </w:rPr>
        <w:t>.  This is most directly tied to the suspension of in-person ser</w:t>
      </w:r>
      <w:r w:rsidR="00D9360D">
        <w:rPr>
          <w:color w:val="000000" w:themeColor="text1"/>
        </w:rPr>
        <w:t xml:space="preserve">vice delivery to PROS clientele, who constituted </w:t>
      </w:r>
      <w:r w:rsidR="009671C0">
        <w:rPr>
          <w:color w:val="000000" w:themeColor="text1"/>
        </w:rPr>
        <w:t>the largest part</w:t>
      </w:r>
      <w:r w:rsidR="00D9360D">
        <w:rPr>
          <w:color w:val="000000" w:themeColor="text1"/>
        </w:rPr>
        <w:t xml:space="preserve"> of our Medicaid service delivery.</w:t>
      </w:r>
      <w:r w:rsidR="002108AD">
        <w:rPr>
          <w:color w:val="000000" w:themeColor="text1"/>
        </w:rPr>
        <w:t xml:space="preserve"> </w:t>
      </w:r>
      <w:r w:rsidR="00607D5F">
        <w:rPr>
          <w:color w:val="000000" w:themeColor="text1"/>
        </w:rPr>
        <w:t>At this time, rides to non-pay</w:t>
      </w:r>
      <w:r w:rsidR="000A7EDD">
        <w:rPr>
          <w:color w:val="000000" w:themeColor="text1"/>
        </w:rPr>
        <w:t>e</w:t>
      </w:r>
      <w:r w:rsidR="00607D5F">
        <w:rPr>
          <w:color w:val="000000" w:themeColor="text1"/>
        </w:rPr>
        <w:t xml:space="preserve">rs (that is, </w:t>
      </w:r>
      <w:r w:rsidR="000A7EDD">
        <w:rPr>
          <w:color w:val="000000" w:themeColor="text1"/>
        </w:rPr>
        <w:t xml:space="preserve">people for whom there is </w:t>
      </w:r>
      <w:r w:rsidR="00607D5F">
        <w:rPr>
          <w:color w:val="000000" w:themeColor="text1"/>
        </w:rPr>
        <w:t>no reimbursement mechanism in place) constitute about 80% of all rides, and non-payers are about 84% of our ridership. This is good from the perspective of meeting the need</w:t>
      </w:r>
      <w:r w:rsidR="000A7EDD">
        <w:rPr>
          <w:color w:val="000000" w:themeColor="text1"/>
        </w:rPr>
        <w:t xml:space="preserve"> of people with few options</w:t>
      </w:r>
      <w:r w:rsidR="00607D5F">
        <w:rPr>
          <w:color w:val="000000" w:themeColor="text1"/>
        </w:rPr>
        <w:t xml:space="preserve">, but not so </w:t>
      </w:r>
      <w:r w:rsidR="00AE3228">
        <w:rPr>
          <w:color w:val="000000" w:themeColor="text1"/>
        </w:rPr>
        <w:t xml:space="preserve">good </w:t>
      </w:r>
      <w:r w:rsidR="00607D5F">
        <w:rPr>
          <w:color w:val="000000" w:themeColor="text1"/>
        </w:rPr>
        <w:t xml:space="preserve">from the perspective of revenue to the program.  At this time, we’ve earned a little more than $78,000 LESS in Medicaid revenue than at the same time last year. </w:t>
      </w:r>
    </w:p>
    <w:p w:rsidR="00C30106" w:rsidRDefault="00C30106" w:rsidP="00C30106">
      <w:pPr>
        <w:spacing w:line="259" w:lineRule="auto"/>
        <w:ind w:left="288"/>
        <w:jc w:val="both"/>
        <w:rPr>
          <w:color w:val="000000" w:themeColor="text1"/>
        </w:rPr>
      </w:pPr>
    </w:p>
    <w:p w:rsidR="00C30106" w:rsidRDefault="00783033" w:rsidP="00783033">
      <w:pPr>
        <w:spacing w:line="259" w:lineRule="auto"/>
        <w:ind w:left="288"/>
        <w:jc w:val="both"/>
        <w:rPr>
          <w:color w:val="000000" w:themeColor="text1"/>
        </w:rPr>
      </w:pPr>
      <w:r>
        <w:rPr>
          <w:color w:val="000000" w:themeColor="text1"/>
        </w:rPr>
        <w:t xml:space="preserve">Not all the decreases in Medicaid revenue are a result of lost business.  They also reflect decreases in the </w:t>
      </w:r>
      <w:r w:rsidR="00C30106">
        <w:rPr>
          <w:color w:val="000000" w:themeColor="text1"/>
        </w:rPr>
        <w:t>Medicaid reimbursement rates</w:t>
      </w:r>
      <w:r>
        <w:rPr>
          <w:color w:val="000000" w:themeColor="text1"/>
        </w:rPr>
        <w:t xml:space="preserve"> themselves</w:t>
      </w:r>
      <w:r w:rsidR="00C30106">
        <w:rPr>
          <w:color w:val="000000" w:themeColor="text1"/>
        </w:rPr>
        <w:t xml:space="preserve">.  Effective June 1, 2020, </w:t>
      </w:r>
      <w:r>
        <w:rPr>
          <w:color w:val="000000" w:themeColor="text1"/>
        </w:rPr>
        <w:t xml:space="preserve">base (A0100) and mileage (S0215) reimbursement rates were reduced by </w:t>
      </w:r>
      <w:r w:rsidR="00C30106" w:rsidRPr="00C30106">
        <w:rPr>
          <w:color w:val="000000" w:themeColor="text1"/>
        </w:rPr>
        <w:t xml:space="preserve">7.5% </w:t>
      </w:r>
      <w:r>
        <w:rPr>
          <w:color w:val="000000" w:themeColor="text1"/>
        </w:rPr>
        <w:t xml:space="preserve">and on </w:t>
      </w:r>
      <w:r w:rsidR="00C30106">
        <w:rPr>
          <w:color w:val="000000" w:themeColor="text1"/>
        </w:rPr>
        <w:t xml:space="preserve">December 1, 2020, they were further reduced by </w:t>
      </w:r>
      <w:r w:rsidR="00C30106" w:rsidRPr="00C30106">
        <w:rPr>
          <w:color w:val="000000" w:themeColor="text1"/>
        </w:rPr>
        <w:t>8.1%</w:t>
      </w:r>
      <w:r>
        <w:rPr>
          <w:color w:val="000000" w:themeColor="text1"/>
        </w:rPr>
        <w:t xml:space="preserve">, for a total reduction of </w:t>
      </w:r>
      <w:r w:rsidR="00C30106" w:rsidRPr="00C30106">
        <w:rPr>
          <w:color w:val="000000" w:themeColor="text1"/>
        </w:rPr>
        <w:t>15%</w:t>
      </w:r>
      <w:r>
        <w:rPr>
          <w:color w:val="000000" w:themeColor="text1"/>
        </w:rPr>
        <w:t>:</w:t>
      </w:r>
    </w:p>
    <w:p w:rsidR="00783033" w:rsidRPr="00C30106" w:rsidRDefault="00783033" w:rsidP="00783033">
      <w:pPr>
        <w:spacing w:line="259" w:lineRule="auto"/>
        <w:ind w:left="288"/>
        <w:jc w:val="both"/>
        <w:rPr>
          <w:color w:val="000000" w:themeColor="text1"/>
        </w:rPr>
      </w:pPr>
    </w:p>
    <w:p w:rsidR="00C30106" w:rsidRDefault="00C30106" w:rsidP="00783033">
      <w:pPr>
        <w:ind w:left="288"/>
        <w:rPr>
          <w:rFonts w:ascii="Calibri" w:hAnsi="Calibri" w:cs="Calibri"/>
          <w:color w:val="1F497D"/>
          <w:sz w:val="22"/>
          <w:szCs w:val="22"/>
        </w:rPr>
      </w:pPr>
      <w:r>
        <w:rPr>
          <w:noProof/>
        </w:rPr>
        <w:drawing>
          <wp:inline distT="0" distB="0" distL="0" distR="0">
            <wp:extent cx="5514975" cy="1792581"/>
            <wp:effectExtent l="0" t="0" r="0" b="0"/>
            <wp:docPr id="6" name="Picture 6" descr="cid:image003.png@01D6C7FC.87C06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C7FC.87C06F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49460" cy="1803790"/>
                    </a:xfrm>
                    <a:prstGeom prst="rect">
                      <a:avLst/>
                    </a:prstGeom>
                    <a:noFill/>
                    <a:ln>
                      <a:noFill/>
                    </a:ln>
                  </pic:spPr>
                </pic:pic>
              </a:graphicData>
            </a:graphic>
          </wp:inline>
        </w:drawing>
      </w:r>
    </w:p>
    <w:p w:rsidR="00C30106" w:rsidRDefault="00C30106" w:rsidP="00C30106">
      <w:pPr>
        <w:rPr>
          <w:rFonts w:ascii="Calibri" w:hAnsi="Calibri" w:cs="Calibri"/>
          <w:color w:val="1F497D"/>
          <w:sz w:val="22"/>
          <w:szCs w:val="22"/>
        </w:rPr>
      </w:pPr>
    </w:p>
    <w:p w:rsidR="000A7EDD" w:rsidRPr="000A7EDD" w:rsidRDefault="000A7EDD" w:rsidP="002108AD">
      <w:pPr>
        <w:spacing w:line="259" w:lineRule="auto"/>
        <w:ind w:left="288"/>
        <w:jc w:val="both"/>
        <w:rPr>
          <w:b/>
          <w:i/>
          <w:color w:val="000000" w:themeColor="text1"/>
        </w:rPr>
      </w:pPr>
      <w:r>
        <w:rPr>
          <w:b/>
          <w:i/>
          <w:color w:val="000000" w:themeColor="text1"/>
        </w:rPr>
        <w:t>Takeaway</w:t>
      </w:r>
      <w:r w:rsidRPr="000A7EDD">
        <w:rPr>
          <w:b/>
          <w:i/>
          <w:color w:val="000000" w:themeColor="text1"/>
        </w:rPr>
        <w:t>: CARTS is recovering, albeit slowly, but new sources of revenue to the program must be found to offset losses in Medicaid revenue</w:t>
      </w:r>
      <w:r w:rsidR="00783033">
        <w:rPr>
          <w:b/>
          <w:i/>
          <w:color w:val="000000" w:themeColor="text1"/>
        </w:rPr>
        <w:t>, including foundation support and, possibly, fees to ridership.</w:t>
      </w:r>
      <w:r w:rsidRPr="000A7EDD">
        <w:rPr>
          <w:b/>
          <w:i/>
          <w:color w:val="000000" w:themeColor="text1"/>
        </w:rPr>
        <w:t xml:space="preserve"> </w:t>
      </w:r>
    </w:p>
    <w:p w:rsidR="005E7DDC" w:rsidRDefault="005E7DDC" w:rsidP="00DD1BCE">
      <w:pPr>
        <w:spacing w:line="259" w:lineRule="auto"/>
        <w:ind w:left="288" w:right="288"/>
        <w:jc w:val="both"/>
        <w:rPr>
          <w:b/>
          <w:color w:val="000000" w:themeColor="text1"/>
        </w:rPr>
      </w:pPr>
    </w:p>
    <w:p w:rsidR="005B4C5B" w:rsidRPr="00636FAB" w:rsidRDefault="005B4C5B" w:rsidP="00DD1BCE">
      <w:pPr>
        <w:spacing w:after="60" w:line="259" w:lineRule="auto"/>
        <w:ind w:left="288" w:right="288"/>
        <w:rPr>
          <w:b/>
          <w:color w:val="000000" w:themeColor="text1"/>
          <w:sz w:val="28"/>
        </w:rPr>
      </w:pPr>
      <w:r w:rsidRPr="00636FAB">
        <w:rPr>
          <w:b/>
          <w:color w:val="000000" w:themeColor="text1"/>
          <w:sz w:val="28"/>
        </w:rPr>
        <w:t>State Contracts</w:t>
      </w:r>
    </w:p>
    <w:p w:rsidR="00C0493E" w:rsidRPr="000A7EDD" w:rsidRDefault="000C06AE" w:rsidP="000A7EDD">
      <w:pPr>
        <w:spacing w:before="120" w:after="120" w:line="259" w:lineRule="auto"/>
        <w:ind w:left="720"/>
        <w:jc w:val="both"/>
        <w:rPr>
          <w:color w:val="000000" w:themeColor="text1"/>
        </w:rPr>
      </w:pPr>
      <w:r>
        <w:rPr>
          <w:b/>
          <w:color w:val="000000" w:themeColor="text1"/>
        </w:rPr>
        <w:t>RHN</w:t>
      </w:r>
      <w:r w:rsidR="002108AD">
        <w:rPr>
          <w:b/>
          <w:color w:val="000000" w:themeColor="text1"/>
        </w:rPr>
        <w:t>—</w:t>
      </w:r>
      <w:r w:rsidR="000A7EDD" w:rsidRPr="000A7EDD">
        <w:rPr>
          <w:color w:val="000000" w:themeColor="text1"/>
        </w:rPr>
        <w:t xml:space="preserve">The RHN contact was fully executed and our vouchers are being reimbursed, albeit at 80% of the vouchered amount. </w:t>
      </w:r>
      <w:r w:rsidR="009E6DF0">
        <w:rPr>
          <w:color w:val="000000" w:themeColor="text1"/>
        </w:rPr>
        <w:t>At this time, we assume the 20% withholding will eventually be paid, but the timing is unclear.</w:t>
      </w:r>
    </w:p>
    <w:p w:rsidR="009B7CD6" w:rsidRDefault="009B441D" w:rsidP="000A7EDD">
      <w:pPr>
        <w:spacing w:before="120" w:after="120" w:line="259" w:lineRule="auto"/>
        <w:ind w:left="720"/>
        <w:jc w:val="both"/>
        <w:rPr>
          <w:color w:val="000000" w:themeColor="text1"/>
        </w:rPr>
      </w:pPr>
      <w:r w:rsidRPr="000C06AE">
        <w:rPr>
          <w:b/>
          <w:color w:val="000000" w:themeColor="text1"/>
        </w:rPr>
        <w:t>Tobacco</w:t>
      </w:r>
      <w:r w:rsidR="009B7CD6">
        <w:rPr>
          <w:b/>
          <w:color w:val="000000" w:themeColor="text1"/>
        </w:rPr>
        <w:t>-Free Action</w:t>
      </w:r>
      <w:r w:rsidR="006848DF">
        <w:rPr>
          <w:b/>
          <w:color w:val="000000" w:themeColor="text1"/>
        </w:rPr>
        <w:t>--</w:t>
      </w:r>
      <w:r w:rsidRPr="009B441D">
        <w:rPr>
          <w:color w:val="000000" w:themeColor="text1"/>
        </w:rPr>
        <w:t xml:space="preserve">The last Tobacco Program voucher to be reimbursed </w:t>
      </w:r>
      <w:r w:rsidR="009671C0">
        <w:rPr>
          <w:color w:val="000000" w:themeColor="text1"/>
        </w:rPr>
        <w:t xml:space="preserve">in its entirety </w:t>
      </w:r>
      <w:r w:rsidRPr="009B441D">
        <w:rPr>
          <w:color w:val="000000" w:themeColor="text1"/>
        </w:rPr>
        <w:t>was</w:t>
      </w:r>
      <w:r>
        <w:rPr>
          <w:color w:val="000000" w:themeColor="text1"/>
        </w:rPr>
        <w:t xml:space="preserve"> for the month of </w:t>
      </w:r>
      <w:r w:rsidR="00C8754A">
        <w:rPr>
          <w:color w:val="000000" w:themeColor="text1"/>
        </w:rPr>
        <w:t>March</w:t>
      </w:r>
      <w:r w:rsidR="000A7EDD">
        <w:rPr>
          <w:color w:val="000000" w:themeColor="text1"/>
        </w:rPr>
        <w:t>.</w:t>
      </w:r>
      <w:r w:rsidR="006F6CEB">
        <w:rPr>
          <w:color w:val="000000" w:themeColor="text1"/>
        </w:rPr>
        <w:t xml:space="preserve"> </w:t>
      </w:r>
      <w:r w:rsidR="000A7EDD">
        <w:rPr>
          <w:color w:val="000000" w:themeColor="text1"/>
        </w:rPr>
        <w:t xml:space="preserve">April, May and June vouchers totaling $62K are now pending payment; we anticipate that they will </w:t>
      </w:r>
      <w:r w:rsidR="00636FAB">
        <w:rPr>
          <w:color w:val="000000" w:themeColor="text1"/>
        </w:rPr>
        <w:t>be reimbursed at 80% as well.</w:t>
      </w:r>
      <w:r w:rsidR="000A7EDD">
        <w:rPr>
          <w:color w:val="000000" w:themeColor="text1"/>
        </w:rPr>
        <w:t xml:space="preserve">  </w:t>
      </w:r>
      <w:r w:rsidR="00636FAB">
        <w:rPr>
          <w:color w:val="000000" w:themeColor="text1"/>
        </w:rPr>
        <w:t xml:space="preserve">We also </w:t>
      </w:r>
      <w:r w:rsidR="000A7EDD">
        <w:rPr>
          <w:color w:val="000000" w:themeColor="text1"/>
        </w:rPr>
        <w:t xml:space="preserve">expect that this will be the LAST money we see from the Tobacco contract in 2020, as the new contract for the period starting July 1, 2020 has not been initiated as yet.  </w:t>
      </w:r>
      <w:r w:rsidR="00C8754A">
        <w:rPr>
          <w:color w:val="000000" w:themeColor="text1"/>
        </w:rPr>
        <w:t xml:space="preserve">While waiting for additional guidance, Tobacco Program staff continue to work reduced hours (.7 FTE) and all </w:t>
      </w:r>
      <w:r w:rsidR="006F6CEB">
        <w:rPr>
          <w:color w:val="000000" w:themeColor="text1"/>
        </w:rPr>
        <w:t xml:space="preserve">hiring and </w:t>
      </w:r>
      <w:r w:rsidR="00C8754A">
        <w:rPr>
          <w:color w:val="000000" w:themeColor="text1"/>
        </w:rPr>
        <w:t xml:space="preserve">discretionary spending is on hold. </w:t>
      </w:r>
    </w:p>
    <w:p w:rsidR="005B4C5B" w:rsidRDefault="005B4C5B" w:rsidP="00DD1BCE">
      <w:pPr>
        <w:spacing w:before="120" w:after="120" w:line="259" w:lineRule="auto"/>
        <w:ind w:left="720"/>
        <w:jc w:val="both"/>
        <w:rPr>
          <w:color w:val="000000" w:themeColor="text1"/>
        </w:rPr>
      </w:pPr>
      <w:r w:rsidRPr="005B4C5B">
        <w:rPr>
          <w:b/>
          <w:color w:val="000000" w:themeColor="text1"/>
        </w:rPr>
        <w:t>Navigator</w:t>
      </w:r>
      <w:r w:rsidR="006848DF">
        <w:rPr>
          <w:b/>
          <w:color w:val="000000" w:themeColor="text1"/>
        </w:rPr>
        <w:t>--</w:t>
      </w:r>
      <w:r>
        <w:rPr>
          <w:color w:val="000000" w:themeColor="text1"/>
        </w:rPr>
        <w:t xml:space="preserve">Interestingly, the Navigator Program has remained fairly current, reimbursing vouchers, in their entirety, through </w:t>
      </w:r>
      <w:r w:rsidR="00C0493E">
        <w:rPr>
          <w:color w:val="000000" w:themeColor="text1"/>
        </w:rPr>
        <w:t>July</w:t>
      </w:r>
      <w:r>
        <w:rPr>
          <w:color w:val="000000" w:themeColor="text1"/>
        </w:rPr>
        <w:t xml:space="preserve">.  </w:t>
      </w:r>
      <w:r w:rsidR="000A7EDD">
        <w:rPr>
          <w:color w:val="000000" w:themeColor="text1"/>
        </w:rPr>
        <w:t>The new contract for the period starting August 1</w:t>
      </w:r>
      <w:r w:rsidR="000A7EDD" w:rsidRPr="000A7EDD">
        <w:rPr>
          <w:color w:val="000000" w:themeColor="text1"/>
          <w:vertAlign w:val="superscript"/>
        </w:rPr>
        <w:t>st</w:t>
      </w:r>
      <w:r w:rsidR="000A7EDD">
        <w:rPr>
          <w:color w:val="000000" w:themeColor="text1"/>
        </w:rPr>
        <w:t xml:space="preserve">, 2020 has also been fully executed, and we are now invited to submit August, September, October and November vouchers, in 2 week increments, for reimbursement. </w:t>
      </w:r>
      <w:r w:rsidR="002454C8">
        <w:rPr>
          <w:color w:val="000000" w:themeColor="text1"/>
        </w:rPr>
        <w:t xml:space="preserve"> </w:t>
      </w:r>
      <w:r w:rsidR="009E6DF0">
        <w:rPr>
          <w:color w:val="000000" w:themeColor="text1"/>
        </w:rPr>
        <w:t>As a result of a recent retirement, we will soon be seeking to hire a new Navigator.</w:t>
      </w:r>
    </w:p>
    <w:p w:rsidR="009E6DF0" w:rsidRPr="009E6DF0" w:rsidRDefault="009E6DF0" w:rsidP="00DD1BCE">
      <w:pPr>
        <w:spacing w:after="160" w:line="259" w:lineRule="auto"/>
        <w:ind w:left="288"/>
        <w:rPr>
          <w:b/>
          <w:i/>
          <w:color w:val="000000" w:themeColor="text1"/>
        </w:rPr>
      </w:pPr>
      <w:r w:rsidRPr="009E6DF0">
        <w:rPr>
          <w:b/>
          <w:i/>
          <w:color w:val="000000" w:themeColor="text1"/>
        </w:rPr>
        <w:t xml:space="preserve">Takeaway:  The State coffers are loosening up for us a little </w:t>
      </w:r>
      <w:r>
        <w:rPr>
          <w:b/>
          <w:i/>
          <w:color w:val="000000" w:themeColor="text1"/>
        </w:rPr>
        <w:t>bit, but there remain open questions about whether and when the 20% withholding will be paid, and also when the Tobacco contract will be executed and in what amount.</w:t>
      </w:r>
    </w:p>
    <w:p w:rsidR="00C30106" w:rsidRDefault="00C30106" w:rsidP="009C338C">
      <w:pPr>
        <w:spacing w:before="120" w:after="120" w:line="259" w:lineRule="auto"/>
        <w:jc w:val="both"/>
        <w:rPr>
          <w:b/>
          <w:sz w:val="28"/>
        </w:rPr>
      </w:pPr>
      <w:r>
        <w:rPr>
          <w:b/>
          <w:sz w:val="28"/>
        </w:rPr>
        <w:lastRenderedPageBreak/>
        <w:t>Personnel Updates</w:t>
      </w:r>
    </w:p>
    <w:p w:rsidR="00C30106" w:rsidRPr="00C30106" w:rsidRDefault="00C30106" w:rsidP="009C338C">
      <w:pPr>
        <w:spacing w:before="120" w:after="120" w:line="259" w:lineRule="auto"/>
        <w:jc w:val="both"/>
        <w:rPr>
          <w:sz w:val="28"/>
        </w:rPr>
      </w:pPr>
      <w:r w:rsidRPr="00C30106">
        <w:t>October and November were busy months in terms of managing staff expectations and actions.  Following the Board’s approval of the new remote work policy, we initiated a process to “tuck” all staff under this new policy.</w:t>
      </w:r>
      <w:r>
        <w:rPr>
          <w:b/>
          <w:sz w:val="28"/>
        </w:rPr>
        <w:t xml:space="preserve">  </w:t>
      </w:r>
      <w:r w:rsidRPr="00C30106">
        <w:t>T</w:t>
      </w:r>
      <w:r>
        <w:t>o our pleasant surprise, t</w:t>
      </w:r>
      <w:r w:rsidRPr="00C30106">
        <w:t>he process went very smoothly. We also initiated off-site service delivery, as well as outreach</w:t>
      </w:r>
      <w:r>
        <w:t xml:space="preserve"> during this time</w:t>
      </w:r>
      <w:r w:rsidRPr="00C30106">
        <w:t xml:space="preserve">.  There was </w:t>
      </w:r>
      <w:r>
        <w:t>some initial</w:t>
      </w:r>
      <w:r w:rsidRPr="00C30106">
        <w:t xml:space="preserve"> trepidation </w:t>
      </w:r>
      <w:r>
        <w:t xml:space="preserve">and even some reluctance </w:t>
      </w:r>
      <w:r w:rsidRPr="00C30106">
        <w:t xml:space="preserve">among staff about this, but our experience has generally been that once people actually conduct outreach and offsite service delivery, their comfort level with it increases </w:t>
      </w:r>
      <w:r>
        <w:t xml:space="preserve">very </w:t>
      </w:r>
      <w:r w:rsidRPr="00C30106">
        <w:t xml:space="preserve">quickly. </w:t>
      </w:r>
    </w:p>
    <w:p w:rsidR="00C30106" w:rsidRDefault="00C30106" w:rsidP="009C338C">
      <w:pPr>
        <w:spacing w:before="120" w:after="120" w:line="259" w:lineRule="auto"/>
        <w:jc w:val="both"/>
        <w:rPr>
          <w:b/>
          <w:sz w:val="28"/>
        </w:rPr>
      </w:pPr>
    </w:p>
    <w:p w:rsidR="009C338C" w:rsidRDefault="009C338C" w:rsidP="009C338C">
      <w:pPr>
        <w:spacing w:before="120" w:after="120" w:line="259" w:lineRule="auto"/>
        <w:jc w:val="both"/>
        <w:rPr>
          <w:b/>
          <w:sz w:val="28"/>
        </w:rPr>
      </w:pPr>
      <w:r w:rsidRPr="009C338C">
        <w:rPr>
          <w:b/>
          <w:sz w:val="28"/>
        </w:rPr>
        <w:t>Update on the Strategic Plan</w:t>
      </w:r>
    </w:p>
    <w:p w:rsidR="00D9360D" w:rsidRDefault="00336746" w:rsidP="009C338C">
      <w:pPr>
        <w:spacing w:before="120" w:after="120" w:line="259" w:lineRule="auto"/>
        <w:jc w:val="both"/>
      </w:pPr>
      <w:r>
        <w:t>While the pandemic has certainly interrupted many of our plans, I remain</w:t>
      </w:r>
      <w:r w:rsidR="00636FAB">
        <w:t>ed</w:t>
      </w:r>
      <w:r>
        <w:t xml:space="preserve"> mindful of the goals that we outlined in our strategic plan, and </w:t>
      </w:r>
      <w:r w:rsidR="009671C0">
        <w:t>still aim</w:t>
      </w:r>
      <w:r w:rsidR="00636FAB">
        <w:t>ed</w:t>
      </w:r>
      <w:r w:rsidR="009671C0">
        <w:t xml:space="preserve"> to </w:t>
      </w:r>
      <w:r>
        <w:t xml:space="preserve">advance them when and where </w:t>
      </w:r>
      <w:r w:rsidR="009671C0">
        <w:t>I</w:t>
      </w:r>
      <w:r>
        <w:t xml:space="preserve"> </w:t>
      </w:r>
      <w:r w:rsidR="00636FAB">
        <w:t>could</w:t>
      </w:r>
      <w:r>
        <w:t xml:space="preserve">.  As you may recall, one of our goals was to provide staff with competitive compensation.  As a starting point, we were able to commission a company to conduct an agency-wide compensation study, which was completed in the early part of this year. This helped to highlight a number of positions that are undercompensated by a substantial percent (10% or more).  </w:t>
      </w:r>
      <w:r w:rsidR="00AE3228">
        <w:t>We were able to utilize funds from the Paycheck Protection Program to provide select staff with “one-</w:t>
      </w:r>
      <w:r>
        <w:t>time retention incentives” that br</w:t>
      </w:r>
      <w:r w:rsidR="00636FAB">
        <w:t xml:space="preserve">ought </w:t>
      </w:r>
      <w:r>
        <w:t>each recipient closer to their 2020 compensation goal</w:t>
      </w:r>
      <w:r w:rsidR="00636FAB">
        <w:t xml:space="preserve">, and more </w:t>
      </w:r>
      <w:r w:rsidR="00AE3228">
        <w:t xml:space="preserve">recently, we were able to implement planned and budgeted increases for a number of staff. </w:t>
      </w:r>
      <w:r w:rsidR="00783033">
        <w:t xml:space="preserve">It is my observation that these “bumps” to wages provided a real boost to morale. </w:t>
      </w:r>
    </w:p>
    <w:p w:rsidR="00AE3228" w:rsidRPr="00AE3228" w:rsidRDefault="00AE3228" w:rsidP="009C338C">
      <w:pPr>
        <w:spacing w:before="120" w:after="120" w:line="259" w:lineRule="auto"/>
        <w:jc w:val="both"/>
        <w:rPr>
          <w:b/>
          <w:i/>
        </w:rPr>
      </w:pPr>
      <w:r w:rsidRPr="00AE3228">
        <w:rPr>
          <w:b/>
          <w:i/>
        </w:rPr>
        <w:t xml:space="preserve">Takeaway:  Despite the challenges of this unique year, we were able to significantly advance our strategic objective of enriching compensation. </w:t>
      </w:r>
    </w:p>
    <w:p w:rsidR="00D9360D" w:rsidRDefault="00D9360D" w:rsidP="009C338C">
      <w:pPr>
        <w:spacing w:before="120" w:after="120" w:line="259" w:lineRule="auto"/>
        <w:jc w:val="both"/>
      </w:pPr>
    </w:p>
    <w:p w:rsidR="00783033" w:rsidRDefault="00783033" w:rsidP="009C338C">
      <w:pPr>
        <w:spacing w:before="120" w:after="120" w:line="259" w:lineRule="auto"/>
        <w:jc w:val="both"/>
        <w:rPr>
          <w:b/>
          <w:sz w:val="28"/>
        </w:rPr>
      </w:pPr>
      <w:r w:rsidRPr="00783033">
        <w:rPr>
          <w:b/>
          <w:sz w:val="28"/>
        </w:rPr>
        <w:t>Odds and Ends</w:t>
      </w:r>
    </w:p>
    <w:p w:rsidR="00783033" w:rsidRPr="00783033" w:rsidRDefault="00783033" w:rsidP="009C338C">
      <w:pPr>
        <w:spacing w:before="120" w:after="120" w:line="259" w:lineRule="auto"/>
        <w:jc w:val="both"/>
      </w:pPr>
      <w:r w:rsidRPr="00783033">
        <w:t>We were grateful to receive a donation in the amount of $200 from Columbia County 911 services and another in the amount of $5,500 from the Columbia County Sheriff’s Office for our Columbia County Community Cancer Fund.</w:t>
      </w:r>
      <w:bookmarkStart w:id="0" w:name="_GoBack"/>
      <w:bookmarkEnd w:id="0"/>
    </w:p>
    <w:p w:rsidR="00783033" w:rsidRDefault="00783033" w:rsidP="009C338C">
      <w:pPr>
        <w:spacing w:before="120" w:after="120" w:line="259" w:lineRule="auto"/>
        <w:jc w:val="both"/>
      </w:pPr>
    </w:p>
    <w:p w:rsidR="009C338C" w:rsidRDefault="009C338C" w:rsidP="009C338C">
      <w:pPr>
        <w:spacing w:before="120" w:after="120" w:line="259" w:lineRule="auto"/>
        <w:jc w:val="both"/>
        <w:rPr>
          <w:b/>
          <w:sz w:val="28"/>
        </w:rPr>
      </w:pPr>
      <w:r>
        <w:rPr>
          <w:b/>
          <w:sz w:val="28"/>
        </w:rPr>
        <w:t>Board and Community Relations</w:t>
      </w:r>
    </w:p>
    <w:p w:rsidR="00C30106" w:rsidRPr="00C30106" w:rsidRDefault="00147AD5" w:rsidP="008D65E0">
      <w:pPr>
        <w:pStyle w:val="ListParagraph"/>
        <w:numPr>
          <w:ilvl w:val="0"/>
          <w:numId w:val="25"/>
        </w:numPr>
        <w:spacing w:before="120" w:after="120" w:line="259" w:lineRule="auto"/>
        <w:ind w:left="360"/>
        <w:contextualSpacing w:val="0"/>
        <w:jc w:val="both"/>
        <w:rPr>
          <w:color w:val="000000" w:themeColor="text1"/>
        </w:rPr>
      </w:pPr>
      <w:r>
        <w:t xml:space="preserve">On </w:t>
      </w:r>
      <w:r w:rsidR="00C30106">
        <w:t>October 20, I met with Dr. Steve Frisch, Senior Executive Vice President for the Integrated Delivery System at Albany Medical Health System, to discuss the Consortium in depth.</w:t>
      </w:r>
    </w:p>
    <w:p w:rsidR="00C30106" w:rsidRPr="00C30106" w:rsidRDefault="00C30106" w:rsidP="008D65E0">
      <w:pPr>
        <w:pStyle w:val="ListParagraph"/>
        <w:numPr>
          <w:ilvl w:val="0"/>
          <w:numId w:val="25"/>
        </w:numPr>
        <w:spacing w:before="120" w:after="120" w:line="259" w:lineRule="auto"/>
        <w:ind w:left="360"/>
        <w:contextualSpacing w:val="0"/>
        <w:jc w:val="both"/>
        <w:rPr>
          <w:color w:val="000000" w:themeColor="text1"/>
        </w:rPr>
      </w:pPr>
      <w:r>
        <w:t>On October 29</w:t>
      </w:r>
      <w:r w:rsidRPr="00C30106">
        <w:rPr>
          <w:vertAlign w:val="superscript"/>
        </w:rPr>
        <w:t>th</w:t>
      </w:r>
      <w:r>
        <w:t>, I participated in the Why Means Matter: Suicide Prevention Training hosted by the Columbia-Greene Suicide Prevention Task Force</w:t>
      </w:r>
    </w:p>
    <w:p w:rsidR="00147AD5" w:rsidRPr="00147AD5" w:rsidRDefault="00C30106" w:rsidP="008D65E0">
      <w:pPr>
        <w:pStyle w:val="ListParagraph"/>
        <w:numPr>
          <w:ilvl w:val="0"/>
          <w:numId w:val="25"/>
        </w:numPr>
        <w:spacing w:before="120" w:after="120" w:line="259" w:lineRule="auto"/>
        <w:ind w:left="360"/>
        <w:contextualSpacing w:val="0"/>
        <w:jc w:val="both"/>
        <w:rPr>
          <w:color w:val="000000" w:themeColor="text1"/>
        </w:rPr>
      </w:pPr>
      <w:r>
        <w:t xml:space="preserve">On </w:t>
      </w:r>
      <w:r w:rsidR="00147AD5">
        <w:t>November 12</w:t>
      </w:r>
      <w:r w:rsidRPr="00C30106">
        <w:rPr>
          <w:vertAlign w:val="superscript"/>
        </w:rPr>
        <w:t>th</w:t>
      </w:r>
      <w:r>
        <w:t>,</w:t>
      </w:r>
      <w:r w:rsidR="00147AD5">
        <w:t xml:space="preserve"> I participated in the Community Advisory Committee of the NYS Health Foundation</w:t>
      </w:r>
    </w:p>
    <w:p w:rsidR="00147AD5" w:rsidRPr="00147AD5" w:rsidRDefault="00147AD5" w:rsidP="008D65E0">
      <w:pPr>
        <w:pStyle w:val="ListParagraph"/>
        <w:numPr>
          <w:ilvl w:val="0"/>
          <w:numId w:val="25"/>
        </w:numPr>
        <w:spacing w:before="120" w:after="120" w:line="259" w:lineRule="auto"/>
        <w:ind w:left="360"/>
        <w:contextualSpacing w:val="0"/>
        <w:jc w:val="both"/>
        <w:rPr>
          <w:color w:val="000000" w:themeColor="text1"/>
        </w:rPr>
      </w:pPr>
      <w:r>
        <w:t>On November 13</w:t>
      </w:r>
      <w:r w:rsidR="00C30106" w:rsidRPr="00C30106">
        <w:rPr>
          <w:vertAlign w:val="superscript"/>
        </w:rPr>
        <w:t>th</w:t>
      </w:r>
      <w:r w:rsidR="00C30106">
        <w:t>,</w:t>
      </w:r>
      <w:r>
        <w:t xml:space="preserve"> I participated in Congressman Antonio Delgado’s Healthcare Advisory Committee meeting</w:t>
      </w:r>
    </w:p>
    <w:p w:rsidR="00147AD5" w:rsidRPr="00147AD5" w:rsidRDefault="00147AD5" w:rsidP="008D65E0">
      <w:pPr>
        <w:pStyle w:val="ListParagraph"/>
        <w:numPr>
          <w:ilvl w:val="0"/>
          <w:numId w:val="25"/>
        </w:numPr>
        <w:spacing w:before="120" w:after="120" w:line="259" w:lineRule="auto"/>
        <w:ind w:left="360"/>
        <w:contextualSpacing w:val="0"/>
        <w:jc w:val="both"/>
        <w:rPr>
          <w:color w:val="000000" w:themeColor="text1"/>
        </w:rPr>
      </w:pPr>
      <w:r>
        <w:t>On November 17</w:t>
      </w:r>
      <w:r w:rsidR="00C30106" w:rsidRPr="00C30106">
        <w:rPr>
          <w:vertAlign w:val="superscript"/>
        </w:rPr>
        <w:t>th</w:t>
      </w:r>
      <w:r w:rsidR="00C30106">
        <w:t>,</w:t>
      </w:r>
      <w:r>
        <w:t xml:space="preserve"> I participated in the Price Methodology Workgroup convened by NYSDOH.  </w:t>
      </w:r>
    </w:p>
    <w:p w:rsidR="00D9360D" w:rsidRPr="00C30106" w:rsidRDefault="00D9360D" w:rsidP="008D65E0">
      <w:pPr>
        <w:pStyle w:val="ListParagraph"/>
        <w:numPr>
          <w:ilvl w:val="0"/>
          <w:numId w:val="25"/>
        </w:numPr>
        <w:spacing w:before="120" w:after="120" w:line="259" w:lineRule="auto"/>
        <w:ind w:left="360"/>
        <w:contextualSpacing w:val="0"/>
        <w:jc w:val="both"/>
        <w:rPr>
          <w:color w:val="000000" w:themeColor="text1"/>
        </w:rPr>
      </w:pPr>
      <w:r>
        <w:t xml:space="preserve">I continue to remain very active on the boards of Columbia Memorial Health, Twin County Recovery Services, the New York State Association for Rural Health, and the Catskill-Hudson Area Health Education Center, as well as the Columbia County Community Services Board and its Alcohol and Substance Abuse Committee, which I currently chair. </w:t>
      </w:r>
    </w:p>
    <w:p w:rsidR="00C30106" w:rsidRPr="00C30106" w:rsidRDefault="00783033" w:rsidP="00C30106">
      <w:pPr>
        <w:spacing w:before="120" w:after="120" w:line="259" w:lineRule="auto"/>
        <w:jc w:val="both"/>
        <w:rPr>
          <w:color w:val="000000" w:themeColor="text1"/>
        </w:rPr>
      </w:pPr>
      <w:r>
        <w:rPr>
          <w:color w:val="000000" w:themeColor="text1"/>
        </w:rPr>
        <w:t xml:space="preserve"> </w:t>
      </w:r>
    </w:p>
    <w:sectPr w:rsidR="00C30106" w:rsidRPr="00C30106" w:rsidSect="00294F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EFD" w:rsidRDefault="00D50EFD" w:rsidP="00D50EFD">
      <w:r>
        <w:separator/>
      </w:r>
    </w:p>
  </w:endnote>
  <w:endnote w:type="continuationSeparator" w:id="0">
    <w:p w:rsidR="00D50EFD" w:rsidRDefault="00D50EFD" w:rsidP="00D5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EFD" w:rsidRDefault="00D50EFD" w:rsidP="00D50EFD">
      <w:r>
        <w:separator/>
      </w:r>
    </w:p>
  </w:footnote>
  <w:footnote w:type="continuationSeparator" w:id="0">
    <w:p w:rsidR="00D50EFD" w:rsidRDefault="00D50EFD" w:rsidP="00D50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143"/>
    <w:multiLevelType w:val="hybridMultilevel"/>
    <w:tmpl w:val="DED8A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24634"/>
    <w:multiLevelType w:val="hybridMultilevel"/>
    <w:tmpl w:val="4BE61C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959BF"/>
    <w:multiLevelType w:val="hybridMultilevel"/>
    <w:tmpl w:val="967A5E9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11462B5"/>
    <w:multiLevelType w:val="hybridMultilevel"/>
    <w:tmpl w:val="64521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D75E0"/>
    <w:multiLevelType w:val="hybridMultilevel"/>
    <w:tmpl w:val="DF4C05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F9A0CC9"/>
    <w:multiLevelType w:val="hybridMultilevel"/>
    <w:tmpl w:val="6C265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92425"/>
    <w:multiLevelType w:val="hybridMultilevel"/>
    <w:tmpl w:val="B8869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062BE6"/>
    <w:multiLevelType w:val="hybridMultilevel"/>
    <w:tmpl w:val="B4D4CF64"/>
    <w:lvl w:ilvl="0" w:tplc="75C20E90">
      <w:numFmt w:val="bullet"/>
      <w:lvlText w:val="•"/>
      <w:lvlJc w:val="left"/>
      <w:pPr>
        <w:ind w:left="1008" w:hanging="720"/>
      </w:pPr>
      <w:rPr>
        <w:rFonts w:ascii="Calibri" w:eastAsia="Calibri"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4D5E28"/>
    <w:multiLevelType w:val="hybridMultilevel"/>
    <w:tmpl w:val="CDFE251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0CE6F8E"/>
    <w:multiLevelType w:val="hybridMultilevel"/>
    <w:tmpl w:val="E3105D3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48181E"/>
    <w:multiLevelType w:val="hybridMultilevel"/>
    <w:tmpl w:val="D8B8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1532C28"/>
    <w:multiLevelType w:val="hybridMultilevel"/>
    <w:tmpl w:val="7B666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143E84"/>
    <w:multiLevelType w:val="hybridMultilevel"/>
    <w:tmpl w:val="242AE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B35C69"/>
    <w:multiLevelType w:val="hybridMultilevel"/>
    <w:tmpl w:val="BDFE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30370B"/>
    <w:multiLevelType w:val="hybridMultilevel"/>
    <w:tmpl w:val="AFBAF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9E6F9D"/>
    <w:multiLevelType w:val="hybridMultilevel"/>
    <w:tmpl w:val="52A4B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9E3DD7"/>
    <w:multiLevelType w:val="hybridMultilevel"/>
    <w:tmpl w:val="519A10B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7D573E95"/>
    <w:multiLevelType w:val="hybridMultilevel"/>
    <w:tmpl w:val="49CE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3"/>
  </w:num>
  <w:num w:numId="5">
    <w:abstractNumId w:val="17"/>
  </w:num>
  <w:num w:numId="6">
    <w:abstractNumId w:val="20"/>
  </w:num>
  <w:num w:numId="7">
    <w:abstractNumId w:val="0"/>
  </w:num>
  <w:num w:numId="8">
    <w:abstractNumId w:val="15"/>
  </w:num>
  <w:num w:numId="9">
    <w:abstractNumId w:val="10"/>
  </w:num>
  <w:num w:numId="10">
    <w:abstractNumId w:val="10"/>
  </w:num>
  <w:num w:numId="11">
    <w:abstractNumId w:val="9"/>
  </w:num>
  <w:num w:numId="12">
    <w:abstractNumId w:val="6"/>
  </w:num>
  <w:num w:numId="13">
    <w:abstractNumId w:val="19"/>
  </w:num>
  <w:num w:numId="14">
    <w:abstractNumId w:val="8"/>
  </w:num>
  <w:num w:numId="15">
    <w:abstractNumId w:val="18"/>
  </w:num>
  <w:num w:numId="16">
    <w:abstractNumId w:val="5"/>
  </w:num>
  <w:num w:numId="17">
    <w:abstractNumId w:val="16"/>
  </w:num>
  <w:num w:numId="18">
    <w:abstractNumId w:val="7"/>
  </w:num>
  <w:num w:numId="19">
    <w:abstractNumId w:val="12"/>
  </w:num>
  <w:num w:numId="20">
    <w:abstractNumId w:val="4"/>
  </w:num>
  <w:num w:numId="21">
    <w:abstractNumId w:val="2"/>
  </w:num>
  <w:num w:numId="22">
    <w:abstractNumId w:val="22"/>
  </w:num>
  <w:num w:numId="23">
    <w:abstractNumId w:val="23"/>
  </w:num>
  <w:num w:numId="24">
    <w:abstractNumId w:val="14"/>
  </w:num>
  <w:num w:numId="2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2634"/>
    <w:rsid w:val="00005995"/>
    <w:rsid w:val="00005CF4"/>
    <w:rsid w:val="00013F1B"/>
    <w:rsid w:val="000255CE"/>
    <w:rsid w:val="000314E7"/>
    <w:rsid w:val="00037CFB"/>
    <w:rsid w:val="000531A9"/>
    <w:rsid w:val="00054043"/>
    <w:rsid w:val="00060B52"/>
    <w:rsid w:val="000623A2"/>
    <w:rsid w:val="0006347A"/>
    <w:rsid w:val="0006723F"/>
    <w:rsid w:val="00097D3C"/>
    <w:rsid w:val="000A0F37"/>
    <w:rsid w:val="000A7EDD"/>
    <w:rsid w:val="000B036F"/>
    <w:rsid w:val="000B3224"/>
    <w:rsid w:val="000C06AE"/>
    <w:rsid w:val="000E1226"/>
    <w:rsid w:val="000E203F"/>
    <w:rsid w:val="000F3E11"/>
    <w:rsid w:val="00112D9C"/>
    <w:rsid w:val="00134D2D"/>
    <w:rsid w:val="00136D20"/>
    <w:rsid w:val="00145A23"/>
    <w:rsid w:val="001477E4"/>
    <w:rsid w:val="00147AD5"/>
    <w:rsid w:val="00150598"/>
    <w:rsid w:val="001601C4"/>
    <w:rsid w:val="001731A5"/>
    <w:rsid w:val="00175360"/>
    <w:rsid w:val="00185264"/>
    <w:rsid w:val="0018648D"/>
    <w:rsid w:val="00192BA1"/>
    <w:rsid w:val="00194D09"/>
    <w:rsid w:val="00196503"/>
    <w:rsid w:val="001A40F2"/>
    <w:rsid w:val="001B0E62"/>
    <w:rsid w:val="001B38AF"/>
    <w:rsid w:val="001C3BA2"/>
    <w:rsid w:val="001C6B5D"/>
    <w:rsid w:val="001D03FF"/>
    <w:rsid w:val="001D67DA"/>
    <w:rsid w:val="001D68D0"/>
    <w:rsid w:val="001E22DC"/>
    <w:rsid w:val="001F2556"/>
    <w:rsid w:val="002027D3"/>
    <w:rsid w:val="002108AD"/>
    <w:rsid w:val="002121DD"/>
    <w:rsid w:val="002135B6"/>
    <w:rsid w:val="00214164"/>
    <w:rsid w:val="00226AE3"/>
    <w:rsid w:val="002454C8"/>
    <w:rsid w:val="002459AB"/>
    <w:rsid w:val="00251C2B"/>
    <w:rsid w:val="00253E60"/>
    <w:rsid w:val="00255922"/>
    <w:rsid w:val="00260826"/>
    <w:rsid w:val="00261CB8"/>
    <w:rsid w:val="00280606"/>
    <w:rsid w:val="0029068B"/>
    <w:rsid w:val="00291F14"/>
    <w:rsid w:val="00291FBA"/>
    <w:rsid w:val="002932E9"/>
    <w:rsid w:val="00293D64"/>
    <w:rsid w:val="00294F2A"/>
    <w:rsid w:val="002B0C25"/>
    <w:rsid w:val="002B140D"/>
    <w:rsid w:val="002B3D09"/>
    <w:rsid w:val="002B5779"/>
    <w:rsid w:val="002C4B0C"/>
    <w:rsid w:val="002E1AB0"/>
    <w:rsid w:val="002E79D6"/>
    <w:rsid w:val="002F38C5"/>
    <w:rsid w:val="00301B35"/>
    <w:rsid w:val="003177F7"/>
    <w:rsid w:val="0032062D"/>
    <w:rsid w:val="00321B58"/>
    <w:rsid w:val="00322A93"/>
    <w:rsid w:val="00326E7B"/>
    <w:rsid w:val="00336746"/>
    <w:rsid w:val="00353845"/>
    <w:rsid w:val="00362D1B"/>
    <w:rsid w:val="0037245C"/>
    <w:rsid w:val="00382637"/>
    <w:rsid w:val="003921A3"/>
    <w:rsid w:val="00395838"/>
    <w:rsid w:val="003A300A"/>
    <w:rsid w:val="003B5ED6"/>
    <w:rsid w:val="003C242D"/>
    <w:rsid w:val="003D5F47"/>
    <w:rsid w:val="003E561F"/>
    <w:rsid w:val="003F1318"/>
    <w:rsid w:val="003F419D"/>
    <w:rsid w:val="0040200B"/>
    <w:rsid w:val="0042796F"/>
    <w:rsid w:val="004303FA"/>
    <w:rsid w:val="00432B57"/>
    <w:rsid w:val="00432D3A"/>
    <w:rsid w:val="004342C2"/>
    <w:rsid w:val="00434311"/>
    <w:rsid w:val="0043638A"/>
    <w:rsid w:val="004404CC"/>
    <w:rsid w:val="0044542C"/>
    <w:rsid w:val="00451ED5"/>
    <w:rsid w:val="00455B69"/>
    <w:rsid w:val="00484036"/>
    <w:rsid w:val="00486CA3"/>
    <w:rsid w:val="004956A9"/>
    <w:rsid w:val="0049661E"/>
    <w:rsid w:val="004A311D"/>
    <w:rsid w:val="004B0D4E"/>
    <w:rsid w:val="004B74BD"/>
    <w:rsid w:val="004D484B"/>
    <w:rsid w:val="004E1EF8"/>
    <w:rsid w:val="004F54DB"/>
    <w:rsid w:val="004F58CC"/>
    <w:rsid w:val="004F7B32"/>
    <w:rsid w:val="005005B8"/>
    <w:rsid w:val="005012ED"/>
    <w:rsid w:val="0050777D"/>
    <w:rsid w:val="00523B9C"/>
    <w:rsid w:val="00524907"/>
    <w:rsid w:val="00525A8C"/>
    <w:rsid w:val="0052644C"/>
    <w:rsid w:val="0053014E"/>
    <w:rsid w:val="00533D2F"/>
    <w:rsid w:val="00537485"/>
    <w:rsid w:val="00564FD5"/>
    <w:rsid w:val="00597ADD"/>
    <w:rsid w:val="00597D0B"/>
    <w:rsid w:val="005A308E"/>
    <w:rsid w:val="005B1B84"/>
    <w:rsid w:val="005B4C5B"/>
    <w:rsid w:val="005C0098"/>
    <w:rsid w:val="005C09E2"/>
    <w:rsid w:val="005C10E9"/>
    <w:rsid w:val="005D284C"/>
    <w:rsid w:val="005D4137"/>
    <w:rsid w:val="005E205A"/>
    <w:rsid w:val="005E540E"/>
    <w:rsid w:val="005E5C70"/>
    <w:rsid w:val="005E7DDC"/>
    <w:rsid w:val="005F45DC"/>
    <w:rsid w:val="00600A72"/>
    <w:rsid w:val="006040AE"/>
    <w:rsid w:val="00605780"/>
    <w:rsid w:val="00607D5F"/>
    <w:rsid w:val="00610957"/>
    <w:rsid w:val="00610F18"/>
    <w:rsid w:val="006111D3"/>
    <w:rsid w:val="006141FD"/>
    <w:rsid w:val="006179A2"/>
    <w:rsid w:val="00621BA8"/>
    <w:rsid w:val="00624002"/>
    <w:rsid w:val="00627173"/>
    <w:rsid w:val="006302D8"/>
    <w:rsid w:val="00632F05"/>
    <w:rsid w:val="006356DB"/>
    <w:rsid w:val="00636FAB"/>
    <w:rsid w:val="00644BD6"/>
    <w:rsid w:val="00645E11"/>
    <w:rsid w:val="00646406"/>
    <w:rsid w:val="006530E6"/>
    <w:rsid w:val="00655FC9"/>
    <w:rsid w:val="00676652"/>
    <w:rsid w:val="0067668F"/>
    <w:rsid w:val="006848DF"/>
    <w:rsid w:val="00684F9B"/>
    <w:rsid w:val="0069051A"/>
    <w:rsid w:val="006A33AD"/>
    <w:rsid w:val="006A5046"/>
    <w:rsid w:val="006C1945"/>
    <w:rsid w:val="006C2CAB"/>
    <w:rsid w:val="006C3A7C"/>
    <w:rsid w:val="006C6A30"/>
    <w:rsid w:val="006D629A"/>
    <w:rsid w:val="006E0B86"/>
    <w:rsid w:val="006E5515"/>
    <w:rsid w:val="006F2BC1"/>
    <w:rsid w:val="006F518E"/>
    <w:rsid w:val="006F6B64"/>
    <w:rsid w:val="006F6CEB"/>
    <w:rsid w:val="0070330D"/>
    <w:rsid w:val="00707AB6"/>
    <w:rsid w:val="00712812"/>
    <w:rsid w:val="007138C5"/>
    <w:rsid w:val="00723D6D"/>
    <w:rsid w:val="00726D02"/>
    <w:rsid w:val="007343FF"/>
    <w:rsid w:val="007354E5"/>
    <w:rsid w:val="00741AC4"/>
    <w:rsid w:val="007427BA"/>
    <w:rsid w:val="00750C49"/>
    <w:rsid w:val="00751739"/>
    <w:rsid w:val="00760E13"/>
    <w:rsid w:val="00761CB6"/>
    <w:rsid w:val="00764793"/>
    <w:rsid w:val="007668EB"/>
    <w:rsid w:val="00774016"/>
    <w:rsid w:val="00776020"/>
    <w:rsid w:val="00776804"/>
    <w:rsid w:val="00780307"/>
    <w:rsid w:val="00781B88"/>
    <w:rsid w:val="00783033"/>
    <w:rsid w:val="00784D8A"/>
    <w:rsid w:val="007871B9"/>
    <w:rsid w:val="007A16EC"/>
    <w:rsid w:val="007A7B98"/>
    <w:rsid w:val="007B6BAE"/>
    <w:rsid w:val="007D0BB2"/>
    <w:rsid w:val="007D2D72"/>
    <w:rsid w:val="007E303D"/>
    <w:rsid w:val="007E6B49"/>
    <w:rsid w:val="007E775B"/>
    <w:rsid w:val="00800EA4"/>
    <w:rsid w:val="008013E9"/>
    <w:rsid w:val="00811253"/>
    <w:rsid w:val="008124E4"/>
    <w:rsid w:val="00813A5B"/>
    <w:rsid w:val="00820188"/>
    <w:rsid w:val="0083350E"/>
    <w:rsid w:val="008376DC"/>
    <w:rsid w:val="008416C3"/>
    <w:rsid w:val="00842995"/>
    <w:rsid w:val="00842B71"/>
    <w:rsid w:val="008430EB"/>
    <w:rsid w:val="008444B1"/>
    <w:rsid w:val="00851251"/>
    <w:rsid w:val="00853A2C"/>
    <w:rsid w:val="008639CC"/>
    <w:rsid w:val="00865197"/>
    <w:rsid w:val="00870042"/>
    <w:rsid w:val="00870380"/>
    <w:rsid w:val="00872B6B"/>
    <w:rsid w:val="00874A57"/>
    <w:rsid w:val="008975BE"/>
    <w:rsid w:val="008C1118"/>
    <w:rsid w:val="008C1189"/>
    <w:rsid w:val="008D4814"/>
    <w:rsid w:val="008D65E0"/>
    <w:rsid w:val="008E7EC2"/>
    <w:rsid w:val="008F3426"/>
    <w:rsid w:val="008F69FF"/>
    <w:rsid w:val="00911AD8"/>
    <w:rsid w:val="00911DE5"/>
    <w:rsid w:val="00912849"/>
    <w:rsid w:val="00914AC1"/>
    <w:rsid w:val="0091521C"/>
    <w:rsid w:val="009316B2"/>
    <w:rsid w:val="009348A0"/>
    <w:rsid w:val="0094624C"/>
    <w:rsid w:val="00961084"/>
    <w:rsid w:val="009671C0"/>
    <w:rsid w:val="00975C7E"/>
    <w:rsid w:val="0098174A"/>
    <w:rsid w:val="00997B33"/>
    <w:rsid w:val="009A1607"/>
    <w:rsid w:val="009A6AAE"/>
    <w:rsid w:val="009A7F7F"/>
    <w:rsid w:val="009B375E"/>
    <w:rsid w:val="009B441D"/>
    <w:rsid w:val="009B7CD6"/>
    <w:rsid w:val="009C0804"/>
    <w:rsid w:val="009C292A"/>
    <w:rsid w:val="009C338C"/>
    <w:rsid w:val="009C461C"/>
    <w:rsid w:val="009C67F6"/>
    <w:rsid w:val="009D49EE"/>
    <w:rsid w:val="009D5E8E"/>
    <w:rsid w:val="009D7FA6"/>
    <w:rsid w:val="009E2729"/>
    <w:rsid w:val="009E6DF0"/>
    <w:rsid w:val="009F4249"/>
    <w:rsid w:val="00A05BD7"/>
    <w:rsid w:val="00A152A5"/>
    <w:rsid w:val="00A20F19"/>
    <w:rsid w:val="00A31A84"/>
    <w:rsid w:val="00A440DB"/>
    <w:rsid w:val="00A50FAF"/>
    <w:rsid w:val="00A573EE"/>
    <w:rsid w:val="00A606DB"/>
    <w:rsid w:val="00A826BD"/>
    <w:rsid w:val="00A843CC"/>
    <w:rsid w:val="00A91AE1"/>
    <w:rsid w:val="00A9460C"/>
    <w:rsid w:val="00AA0065"/>
    <w:rsid w:val="00AA3A70"/>
    <w:rsid w:val="00AA618D"/>
    <w:rsid w:val="00AB4DD7"/>
    <w:rsid w:val="00AB74F1"/>
    <w:rsid w:val="00AC0E78"/>
    <w:rsid w:val="00AC4F54"/>
    <w:rsid w:val="00AC5969"/>
    <w:rsid w:val="00AD0F42"/>
    <w:rsid w:val="00AE299C"/>
    <w:rsid w:val="00AE3228"/>
    <w:rsid w:val="00AE392E"/>
    <w:rsid w:val="00B1548D"/>
    <w:rsid w:val="00B17D9F"/>
    <w:rsid w:val="00B21963"/>
    <w:rsid w:val="00B2253C"/>
    <w:rsid w:val="00B433BC"/>
    <w:rsid w:val="00B50EBA"/>
    <w:rsid w:val="00B53141"/>
    <w:rsid w:val="00B6138C"/>
    <w:rsid w:val="00B70AD7"/>
    <w:rsid w:val="00B80E14"/>
    <w:rsid w:val="00B81747"/>
    <w:rsid w:val="00B81EBA"/>
    <w:rsid w:val="00B82655"/>
    <w:rsid w:val="00BA02F0"/>
    <w:rsid w:val="00BA563A"/>
    <w:rsid w:val="00BC4D23"/>
    <w:rsid w:val="00BC6A40"/>
    <w:rsid w:val="00BD103F"/>
    <w:rsid w:val="00BD42F6"/>
    <w:rsid w:val="00BD67E8"/>
    <w:rsid w:val="00BE0ED3"/>
    <w:rsid w:val="00BE23F9"/>
    <w:rsid w:val="00BF7A0D"/>
    <w:rsid w:val="00C01F5B"/>
    <w:rsid w:val="00C03303"/>
    <w:rsid w:val="00C0493E"/>
    <w:rsid w:val="00C13504"/>
    <w:rsid w:val="00C2211A"/>
    <w:rsid w:val="00C237D9"/>
    <w:rsid w:val="00C249B6"/>
    <w:rsid w:val="00C30106"/>
    <w:rsid w:val="00C419DD"/>
    <w:rsid w:val="00C51147"/>
    <w:rsid w:val="00C53EB2"/>
    <w:rsid w:val="00C558C2"/>
    <w:rsid w:val="00C62AA0"/>
    <w:rsid w:val="00C72495"/>
    <w:rsid w:val="00C75F1F"/>
    <w:rsid w:val="00C80252"/>
    <w:rsid w:val="00C81B17"/>
    <w:rsid w:val="00C84CB0"/>
    <w:rsid w:val="00C86E64"/>
    <w:rsid w:val="00C8754A"/>
    <w:rsid w:val="00C876C6"/>
    <w:rsid w:val="00C9127C"/>
    <w:rsid w:val="00C95030"/>
    <w:rsid w:val="00CA1EE6"/>
    <w:rsid w:val="00CC35FC"/>
    <w:rsid w:val="00CC52DC"/>
    <w:rsid w:val="00CE6BF9"/>
    <w:rsid w:val="00D02507"/>
    <w:rsid w:val="00D049EE"/>
    <w:rsid w:val="00D15E62"/>
    <w:rsid w:val="00D177A6"/>
    <w:rsid w:val="00D50EFD"/>
    <w:rsid w:val="00D523D6"/>
    <w:rsid w:val="00D53094"/>
    <w:rsid w:val="00D65ED5"/>
    <w:rsid w:val="00D71898"/>
    <w:rsid w:val="00D75B6C"/>
    <w:rsid w:val="00D76CC5"/>
    <w:rsid w:val="00D83EEE"/>
    <w:rsid w:val="00D86F0F"/>
    <w:rsid w:val="00D871A5"/>
    <w:rsid w:val="00D91013"/>
    <w:rsid w:val="00D9360D"/>
    <w:rsid w:val="00DA2608"/>
    <w:rsid w:val="00DA2F14"/>
    <w:rsid w:val="00DB0E17"/>
    <w:rsid w:val="00DB6975"/>
    <w:rsid w:val="00DC1F36"/>
    <w:rsid w:val="00DC29E5"/>
    <w:rsid w:val="00DC2CF6"/>
    <w:rsid w:val="00DD1BCE"/>
    <w:rsid w:val="00DD330D"/>
    <w:rsid w:val="00DD7F85"/>
    <w:rsid w:val="00DE3ABD"/>
    <w:rsid w:val="00DF4B01"/>
    <w:rsid w:val="00E13F00"/>
    <w:rsid w:val="00E1777A"/>
    <w:rsid w:val="00E21014"/>
    <w:rsid w:val="00E22FBE"/>
    <w:rsid w:val="00E31E76"/>
    <w:rsid w:val="00E360FC"/>
    <w:rsid w:val="00E426A3"/>
    <w:rsid w:val="00E45CAC"/>
    <w:rsid w:val="00E50B71"/>
    <w:rsid w:val="00E627B0"/>
    <w:rsid w:val="00E67064"/>
    <w:rsid w:val="00EA3E74"/>
    <w:rsid w:val="00EB502E"/>
    <w:rsid w:val="00EC1A79"/>
    <w:rsid w:val="00ED7410"/>
    <w:rsid w:val="00EE7076"/>
    <w:rsid w:val="00EF0480"/>
    <w:rsid w:val="00EF11BD"/>
    <w:rsid w:val="00EF38A5"/>
    <w:rsid w:val="00EF7CC4"/>
    <w:rsid w:val="00F114BB"/>
    <w:rsid w:val="00F14441"/>
    <w:rsid w:val="00F37420"/>
    <w:rsid w:val="00F432D8"/>
    <w:rsid w:val="00F43B5D"/>
    <w:rsid w:val="00F52D2C"/>
    <w:rsid w:val="00F77684"/>
    <w:rsid w:val="00F834F7"/>
    <w:rsid w:val="00F84DD8"/>
    <w:rsid w:val="00FA3806"/>
    <w:rsid w:val="00FA5F2F"/>
    <w:rsid w:val="00FA7EEF"/>
    <w:rsid w:val="00FB57CC"/>
    <w:rsid w:val="00FC18F3"/>
    <w:rsid w:val="00FD0897"/>
    <w:rsid w:val="00FD139F"/>
    <w:rsid w:val="00FD238A"/>
    <w:rsid w:val="00FD323B"/>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4D0472"/>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 w:type="character" w:styleId="Hyperlink">
    <w:name w:val="Hyperlink"/>
    <w:basedOn w:val="DefaultParagraphFont"/>
    <w:uiPriority w:val="99"/>
    <w:semiHidden/>
    <w:unhideWhenUsed/>
    <w:rsid w:val="00800EA4"/>
    <w:rPr>
      <w:color w:val="0000FF"/>
      <w:u w:val="single"/>
    </w:rPr>
  </w:style>
  <w:style w:type="paragraph" w:styleId="Header">
    <w:name w:val="header"/>
    <w:basedOn w:val="Normal"/>
    <w:link w:val="HeaderChar"/>
    <w:uiPriority w:val="99"/>
    <w:unhideWhenUsed/>
    <w:rsid w:val="00D50EFD"/>
    <w:pPr>
      <w:tabs>
        <w:tab w:val="center" w:pos="4680"/>
        <w:tab w:val="right" w:pos="9360"/>
      </w:tabs>
    </w:pPr>
  </w:style>
  <w:style w:type="character" w:customStyle="1" w:styleId="HeaderChar">
    <w:name w:val="Header Char"/>
    <w:basedOn w:val="DefaultParagraphFont"/>
    <w:link w:val="Header"/>
    <w:uiPriority w:val="99"/>
    <w:rsid w:val="00D50EFD"/>
    <w:rPr>
      <w:rFonts w:ascii="Times New Roman" w:hAnsi="Times New Roman" w:cs="Times New Roman"/>
      <w:sz w:val="24"/>
      <w:szCs w:val="24"/>
    </w:rPr>
  </w:style>
  <w:style w:type="paragraph" w:styleId="Footer">
    <w:name w:val="footer"/>
    <w:basedOn w:val="Normal"/>
    <w:link w:val="FooterChar"/>
    <w:uiPriority w:val="99"/>
    <w:unhideWhenUsed/>
    <w:rsid w:val="00D50EFD"/>
    <w:pPr>
      <w:tabs>
        <w:tab w:val="center" w:pos="4680"/>
        <w:tab w:val="right" w:pos="9360"/>
      </w:tabs>
    </w:pPr>
  </w:style>
  <w:style w:type="character" w:customStyle="1" w:styleId="FooterChar">
    <w:name w:val="Footer Char"/>
    <w:basedOn w:val="DefaultParagraphFont"/>
    <w:link w:val="Footer"/>
    <w:uiPriority w:val="99"/>
    <w:rsid w:val="00D50E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185">
      <w:bodyDiv w:val="1"/>
      <w:marLeft w:val="0"/>
      <w:marRight w:val="0"/>
      <w:marTop w:val="0"/>
      <w:marBottom w:val="0"/>
      <w:divBdr>
        <w:top w:val="none" w:sz="0" w:space="0" w:color="auto"/>
        <w:left w:val="none" w:sz="0" w:space="0" w:color="auto"/>
        <w:bottom w:val="none" w:sz="0" w:space="0" w:color="auto"/>
        <w:right w:val="none" w:sz="0" w:space="0" w:color="auto"/>
      </w:divBdr>
    </w:div>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631060608">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364356380">
      <w:bodyDiv w:val="1"/>
      <w:marLeft w:val="0"/>
      <w:marRight w:val="0"/>
      <w:marTop w:val="0"/>
      <w:marBottom w:val="0"/>
      <w:divBdr>
        <w:top w:val="none" w:sz="0" w:space="0" w:color="auto"/>
        <w:left w:val="none" w:sz="0" w:space="0" w:color="auto"/>
        <w:bottom w:val="none" w:sz="0" w:space="0" w:color="auto"/>
        <w:right w:val="none" w:sz="0" w:space="0" w:color="auto"/>
      </w:divBdr>
    </w:div>
    <w:div w:id="1466853748">
      <w:bodyDiv w:val="1"/>
      <w:marLeft w:val="0"/>
      <w:marRight w:val="0"/>
      <w:marTop w:val="0"/>
      <w:marBottom w:val="0"/>
      <w:divBdr>
        <w:top w:val="none" w:sz="0" w:space="0" w:color="auto"/>
        <w:left w:val="none" w:sz="0" w:space="0" w:color="auto"/>
        <w:bottom w:val="none" w:sz="0" w:space="0" w:color="auto"/>
        <w:right w:val="none" w:sz="0" w:space="0" w:color="auto"/>
      </w:divBdr>
    </w:div>
    <w:div w:id="1619020524">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2690844">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024701092">
      <w:bodyDiv w:val="1"/>
      <w:marLeft w:val="0"/>
      <w:marRight w:val="0"/>
      <w:marTop w:val="0"/>
      <w:marBottom w:val="0"/>
      <w:divBdr>
        <w:top w:val="none" w:sz="0" w:space="0" w:color="auto"/>
        <w:left w:val="none" w:sz="0" w:space="0" w:color="auto"/>
        <w:bottom w:val="none" w:sz="0" w:space="0" w:color="auto"/>
        <w:right w:val="none" w:sz="0" w:space="0" w:color="auto"/>
      </w:divBdr>
    </w:div>
    <w:div w:id="2098285191">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png@01D6C7FC.87C06FB0"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2019-02-06T16:55:00Z</cp:lastPrinted>
  <dcterms:created xsi:type="dcterms:W3CDTF">2020-12-01T21:51:00Z</dcterms:created>
  <dcterms:modified xsi:type="dcterms:W3CDTF">2020-12-01T21:51:00Z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