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1D" w:rsidRPr="00DD351D" w:rsidRDefault="00155CF4" w:rsidP="006679CB">
      <w:pPr>
        <w:ind w:left="144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678424" cy="94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HC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9CB" w:rsidRPr="006679CB" w:rsidRDefault="006679CB" w:rsidP="006679CB">
      <w:pPr>
        <w:tabs>
          <w:tab w:val="left" w:pos="8205"/>
        </w:tabs>
        <w:jc w:val="center"/>
        <w:rPr>
          <w:b/>
          <w:color w:val="000000" w:themeColor="text1"/>
          <w:sz w:val="20"/>
        </w:rPr>
      </w:pPr>
    </w:p>
    <w:p w:rsidR="00DD351D" w:rsidRPr="00DD351D" w:rsidRDefault="00DD351D" w:rsidP="006679CB">
      <w:pPr>
        <w:tabs>
          <w:tab w:val="left" w:pos="8205"/>
        </w:tabs>
        <w:spacing w:before="120"/>
        <w:jc w:val="center"/>
        <w:rPr>
          <w:b/>
          <w:color w:val="000000" w:themeColor="text1"/>
          <w:sz w:val="28"/>
        </w:rPr>
      </w:pPr>
      <w:r w:rsidRPr="00DD351D">
        <w:rPr>
          <w:b/>
          <w:color w:val="000000" w:themeColor="text1"/>
          <w:sz w:val="28"/>
        </w:rPr>
        <w:t>Executive Director’s Report to the Board</w:t>
      </w:r>
    </w:p>
    <w:p w:rsidR="00DD351D" w:rsidRPr="00DD351D" w:rsidRDefault="00DD351D" w:rsidP="006679CB">
      <w:pP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April 7</w:t>
      </w:r>
      <w:r w:rsidRPr="00DD351D">
        <w:rPr>
          <w:b/>
          <w:color w:val="000000" w:themeColor="text1"/>
          <w:sz w:val="28"/>
        </w:rPr>
        <w:t>, 2021</w:t>
      </w:r>
    </w:p>
    <w:p w:rsidR="00DD351D" w:rsidRPr="00DD351D" w:rsidRDefault="00155CF4" w:rsidP="006679CB">
      <w:pPr>
        <w:spacing w:after="120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Fiscal</w:t>
      </w:r>
      <w:r w:rsidR="00DD351D">
        <w:rPr>
          <w:b/>
          <w:color w:val="000000" w:themeColor="text1"/>
          <w:sz w:val="28"/>
        </w:rPr>
        <w:t xml:space="preserve"> Management </w:t>
      </w:r>
    </w:p>
    <w:p w:rsidR="00DD351D" w:rsidRPr="00DD351D" w:rsidRDefault="00DD351D" w:rsidP="003B642E">
      <w:pPr>
        <w:spacing w:after="60"/>
        <w:ind w:left="288" w:right="288"/>
        <w:jc w:val="both"/>
        <w:rPr>
          <w:b/>
          <w:color w:val="000000" w:themeColor="text1"/>
          <w:sz w:val="24"/>
        </w:rPr>
      </w:pPr>
      <w:r w:rsidRPr="00DD351D">
        <w:rPr>
          <w:b/>
          <w:color w:val="000000" w:themeColor="text1"/>
          <w:sz w:val="24"/>
        </w:rPr>
        <w:t>State Contracts</w:t>
      </w:r>
    </w:p>
    <w:p w:rsidR="00155CF4" w:rsidRPr="00155CF4" w:rsidRDefault="00155CF4" w:rsidP="006679CB">
      <w:pPr>
        <w:spacing w:before="120" w:after="120"/>
        <w:ind w:left="576"/>
        <w:jc w:val="both"/>
        <w:rPr>
          <w:b/>
          <w:color w:val="000000" w:themeColor="text1"/>
        </w:rPr>
      </w:pPr>
      <w:r w:rsidRPr="00155CF4">
        <w:rPr>
          <w:b/>
          <w:color w:val="000000" w:themeColor="text1"/>
        </w:rPr>
        <w:t>Budgeting, budgeting and budgeting again…</w:t>
      </w:r>
    </w:p>
    <w:p w:rsidR="00155CF4" w:rsidRPr="00155CF4" w:rsidRDefault="00155CF4" w:rsidP="006679CB">
      <w:pPr>
        <w:spacing w:before="120" w:after="120"/>
        <w:ind w:left="576"/>
        <w:jc w:val="both"/>
        <w:rPr>
          <w:color w:val="000000" w:themeColor="text1"/>
        </w:rPr>
      </w:pPr>
      <w:r w:rsidRPr="00155CF4">
        <w:rPr>
          <w:color w:val="000000" w:themeColor="text1"/>
        </w:rPr>
        <w:t xml:space="preserve">The State has kept us busy in the first quarter by requesting modifications to previously submitted budgets and work plans. </w:t>
      </w:r>
      <w:r w:rsidR="00C25D2E">
        <w:rPr>
          <w:color w:val="000000" w:themeColor="text1"/>
        </w:rPr>
        <w:t>B</w:t>
      </w:r>
      <w:r w:rsidRPr="00155CF4">
        <w:rPr>
          <w:color w:val="000000" w:themeColor="text1"/>
        </w:rPr>
        <w:t xml:space="preserve">oth the Rural Health Network (RHN) and Tobacco-Free Action </w:t>
      </w:r>
      <w:r w:rsidR="002529B8">
        <w:rPr>
          <w:color w:val="000000" w:themeColor="text1"/>
        </w:rPr>
        <w:t xml:space="preserve">(TOB) </w:t>
      </w:r>
      <w:r w:rsidRPr="00155CF4">
        <w:rPr>
          <w:color w:val="000000" w:themeColor="text1"/>
        </w:rPr>
        <w:t xml:space="preserve">contracts had initially required </w:t>
      </w:r>
      <w:r w:rsidR="006679CB">
        <w:rPr>
          <w:color w:val="000000" w:themeColor="text1"/>
        </w:rPr>
        <w:t>us to</w:t>
      </w:r>
      <w:r w:rsidRPr="00155CF4">
        <w:rPr>
          <w:color w:val="000000" w:themeColor="text1"/>
        </w:rPr>
        <w:t xml:space="preserve"> submit budgets with some portion of the contract amount reserved in a restricted, unbillable line. However, when it became apparent to the State that federal f</w:t>
      </w:r>
      <w:r w:rsidR="002529B8">
        <w:rPr>
          <w:color w:val="000000" w:themeColor="text1"/>
        </w:rPr>
        <w:t xml:space="preserve">unds were forthcoming, we </w:t>
      </w:r>
      <w:proofErr w:type="gramStart"/>
      <w:r w:rsidR="002529B8">
        <w:rPr>
          <w:color w:val="000000" w:themeColor="text1"/>
        </w:rPr>
        <w:t xml:space="preserve">were </w:t>
      </w:r>
      <w:r w:rsidRPr="00155CF4">
        <w:rPr>
          <w:color w:val="000000" w:themeColor="text1"/>
        </w:rPr>
        <w:t>advised</w:t>
      </w:r>
      <w:proofErr w:type="gramEnd"/>
      <w:r w:rsidRPr="00155CF4">
        <w:rPr>
          <w:color w:val="000000" w:themeColor="text1"/>
        </w:rPr>
        <w:t xml:space="preserve"> to release these funds from this restricted line and allocate t</w:t>
      </w:r>
      <w:r w:rsidR="002529B8">
        <w:rPr>
          <w:color w:val="000000" w:themeColor="text1"/>
        </w:rPr>
        <w:t>hem to other expense</w:t>
      </w:r>
      <w:r w:rsidR="00C25D2E">
        <w:rPr>
          <w:color w:val="000000" w:themeColor="text1"/>
        </w:rPr>
        <w:t xml:space="preserve"> line</w:t>
      </w:r>
      <w:r w:rsidR="002529B8">
        <w:rPr>
          <w:color w:val="000000" w:themeColor="text1"/>
        </w:rPr>
        <w:t>s</w:t>
      </w:r>
      <w:r w:rsidR="00C25D2E">
        <w:rPr>
          <w:color w:val="000000" w:themeColor="text1"/>
        </w:rPr>
        <w:t>.</w:t>
      </w:r>
      <w:r w:rsidR="002529B8">
        <w:rPr>
          <w:color w:val="000000" w:themeColor="text1"/>
        </w:rPr>
        <w:t xml:space="preserve"> This, of course, was great news, and </w:t>
      </w:r>
      <w:r w:rsidR="006679CB">
        <w:rPr>
          <w:color w:val="000000" w:themeColor="text1"/>
        </w:rPr>
        <w:t>eased</w:t>
      </w:r>
      <w:r w:rsidR="002529B8">
        <w:rPr>
          <w:color w:val="000000" w:themeColor="text1"/>
        </w:rPr>
        <w:t xml:space="preserve"> the constraints that those</w:t>
      </w:r>
      <w:r w:rsidR="00C25D2E">
        <w:rPr>
          <w:color w:val="000000" w:themeColor="text1"/>
        </w:rPr>
        <w:t xml:space="preserve"> “front-end withholds” had imposed, but it did create quite a bit of additional work, particularly for John</w:t>
      </w:r>
      <w:r w:rsidR="002529B8">
        <w:rPr>
          <w:color w:val="000000" w:themeColor="text1"/>
        </w:rPr>
        <w:t xml:space="preserve"> </w:t>
      </w:r>
      <w:r w:rsidR="00C25D2E">
        <w:rPr>
          <w:color w:val="000000" w:themeColor="text1"/>
        </w:rPr>
        <w:t xml:space="preserve">(in the case of TOB, this represented the </w:t>
      </w:r>
      <w:proofErr w:type="gramStart"/>
      <w:r w:rsidR="00C25D2E">
        <w:rPr>
          <w:color w:val="000000" w:themeColor="text1"/>
        </w:rPr>
        <w:t>3</w:t>
      </w:r>
      <w:r w:rsidR="00C25D2E" w:rsidRPr="002529B8">
        <w:rPr>
          <w:color w:val="000000" w:themeColor="text1"/>
          <w:vertAlign w:val="superscript"/>
        </w:rPr>
        <w:t>rd</w:t>
      </w:r>
      <w:r w:rsidR="00C25D2E">
        <w:rPr>
          <w:color w:val="000000" w:themeColor="text1"/>
          <w:vertAlign w:val="superscript"/>
        </w:rPr>
        <w:t xml:space="preserve"> </w:t>
      </w:r>
      <w:r w:rsidR="00C25D2E">
        <w:rPr>
          <w:color w:val="000000" w:themeColor="text1"/>
        </w:rPr>
        <w:t xml:space="preserve"> time</w:t>
      </w:r>
      <w:proofErr w:type="gramEnd"/>
      <w:r w:rsidR="00C25D2E">
        <w:rPr>
          <w:color w:val="000000" w:themeColor="text1"/>
        </w:rPr>
        <w:t xml:space="preserve"> </w:t>
      </w:r>
      <w:r w:rsidR="006679CB">
        <w:rPr>
          <w:color w:val="000000" w:themeColor="text1"/>
        </w:rPr>
        <w:t xml:space="preserve">he created a budget </w:t>
      </w:r>
      <w:r w:rsidR="00C25D2E">
        <w:rPr>
          <w:color w:val="000000" w:themeColor="text1"/>
        </w:rPr>
        <w:t xml:space="preserve">for the same </w:t>
      </w:r>
      <w:r w:rsidR="006679CB">
        <w:rPr>
          <w:color w:val="000000" w:themeColor="text1"/>
        </w:rPr>
        <w:t>period</w:t>
      </w:r>
      <w:r w:rsidR="00C25D2E">
        <w:rPr>
          <w:color w:val="000000" w:themeColor="text1"/>
        </w:rPr>
        <w:t>)</w:t>
      </w:r>
      <w:r w:rsidR="006679CB">
        <w:rPr>
          <w:color w:val="000000" w:themeColor="text1"/>
        </w:rPr>
        <w:t>.</w:t>
      </w:r>
    </w:p>
    <w:p w:rsidR="002529B8" w:rsidRPr="002529B8" w:rsidRDefault="002529B8" w:rsidP="006679CB">
      <w:pPr>
        <w:spacing w:before="120" w:after="120"/>
        <w:ind w:left="576"/>
        <w:jc w:val="both"/>
        <w:rPr>
          <w:b/>
          <w:color w:val="000000" w:themeColor="text1"/>
        </w:rPr>
      </w:pPr>
      <w:r w:rsidRPr="002529B8">
        <w:rPr>
          <w:b/>
          <w:color w:val="000000" w:themeColor="text1"/>
        </w:rPr>
        <w:t>Collecting</w:t>
      </w:r>
      <w:r>
        <w:rPr>
          <w:b/>
          <w:color w:val="000000" w:themeColor="text1"/>
        </w:rPr>
        <w:t xml:space="preserve"> A/R</w:t>
      </w:r>
    </w:p>
    <w:p w:rsidR="00155CF4" w:rsidRPr="00155CF4" w:rsidRDefault="00155CF4" w:rsidP="006679CB">
      <w:pPr>
        <w:spacing w:before="120" w:after="120"/>
        <w:ind w:left="576"/>
        <w:jc w:val="both"/>
        <w:rPr>
          <w:b/>
          <w:color w:val="000000" w:themeColor="text1"/>
        </w:rPr>
      </w:pPr>
      <w:r w:rsidRPr="00155CF4">
        <w:rPr>
          <w:color w:val="000000" w:themeColor="text1"/>
        </w:rPr>
        <w:t xml:space="preserve">The amounts that </w:t>
      </w:r>
      <w:proofErr w:type="gramStart"/>
      <w:r w:rsidRPr="00155CF4">
        <w:rPr>
          <w:color w:val="000000" w:themeColor="text1"/>
        </w:rPr>
        <w:t>were withheld</w:t>
      </w:r>
      <w:proofErr w:type="gramEnd"/>
      <w:r w:rsidRPr="00155CF4">
        <w:rPr>
          <w:color w:val="000000" w:themeColor="text1"/>
        </w:rPr>
        <w:t xml:space="preserve"> from reimbursement </w:t>
      </w:r>
      <w:r w:rsidR="002529B8">
        <w:rPr>
          <w:color w:val="000000" w:themeColor="text1"/>
        </w:rPr>
        <w:t>(</w:t>
      </w:r>
      <w:r w:rsidRPr="00155CF4">
        <w:rPr>
          <w:color w:val="000000" w:themeColor="text1"/>
        </w:rPr>
        <w:t xml:space="preserve">20% of the entire voucher amount) </w:t>
      </w:r>
      <w:r w:rsidR="002529B8">
        <w:rPr>
          <w:color w:val="000000" w:themeColor="text1"/>
        </w:rPr>
        <w:t xml:space="preserve">on our RHN and TOB contracts </w:t>
      </w:r>
      <w:r w:rsidR="00B101E7">
        <w:rPr>
          <w:color w:val="000000" w:themeColor="text1"/>
        </w:rPr>
        <w:t>have now</w:t>
      </w:r>
      <w:r>
        <w:rPr>
          <w:color w:val="000000" w:themeColor="text1"/>
        </w:rPr>
        <w:t xml:space="preserve"> been </w:t>
      </w:r>
      <w:r w:rsidR="00B101E7">
        <w:rPr>
          <w:color w:val="000000" w:themeColor="text1"/>
        </w:rPr>
        <w:t>paid in full</w:t>
      </w:r>
      <w:r>
        <w:rPr>
          <w:color w:val="000000" w:themeColor="text1"/>
        </w:rPr>
        <w:t xml:space="preserve">.  Furthermore, </w:t>
      </w:r>
      <w:r w:rsidR="002529B8">
        <w:rPr>
          <w:color w:val="000000" w:themeColor="text1"/>
        </w:rPr>
        <w:t xml:space="preserve">we were invited to submit a voucher </w:t>
      </w:r>
      <w:r w:rsidR="00AF1E64" w:rsidRPr="00B101E7">
        <w:rPr>
          <w:color w:val="000000" w:themeColor="text1"/>
        </w:rPr>
        <w:t>in excess of $87,000</w:t>
      </w:r>
      <w:r w:rsidR="00AF1E64">
        <w:rPr>
          <w:color w:val="000000" w:themeColor="text1"/>
        </w:rPr>
        <w:t xml:space="preserve"> </w:t>
      </w:r>
      <w:r w:rsidR="006679CB">
        <w:rPr>
          <w:color w:val="000000" w:themeColor="text1"/>
        </w:rPr>
        <w:t xml:space="preserve">for expenses related to the TOB contract </w:t>
      </w:r>
      <w:r w:rsidR="002529B8">
        <w:rPr>
          <w:color w:val="000000" w:themeColor="text1"/>
        </w:rPr>
        <w:t xml:space="preserve">for the period from July 2020 through February </w:t>
      </w:r>
      <w:r w:rsidR="006679CB" w:rsidRPr="00B101E7">
        <w:rPr>
          <w:color w:val="000000" w:themeColor="text1"/>
        </w:rPr>
        <w:t>2021</w:t>
      </w:r>
      <w:bookmarkStart w:id="0" w:name="_GoBack"/>
      <w:bookmarkEnd w:id="0"/>
      <w:r w:rsidR="006679CB" w:rsidRPr="00B101E7">
        <w:rPr>
          <w:color w:val="000000" w:themeColor="text1"/>
        </w:rPr>
        <w:t>.</w:t>
      </w:r>
    </w:p>
    <w:p w:rsidR="00DD351D" w:rsidRPr="00DD351D" w:rsidRDefault="00DD351D" w:rsidP="006679CB">
      <w:pPr>
        <w:spacing w:before="360" w:after="120"/>
        <w:ind w:left="288"/>
        <w:jc w:val="both"/>
        <w:rPr>
          <w:b/>
          <w:sz w:val="24"/>
        </w:rPr>
      </w:pPr>
      <w:r w:rsidRPr="00DD351D">
        <w:rPr>
          <w:b/>
          <w:sz w:val="24"/>
        </w:rPr>
        <w:t>Foundation Contracts</w:t>
      </w:r>
    </w:p>
    <w:p w:rsidR="00DD351D" w:rsidRDefault="00DD351D" w:rsidP="006679CB">
      <w:pPr>
        <w:spacing w:before="120" w:after="120"/>
        <w:ind w:left="576"/>
        <w:jc w:val="both"/>
      </w:pPr>
      <w:r w:rsidRPr="00DD351D">
        <w:rPr>
          <w:b/>
        </w:rPr>
        <w:t>Foundation for Community Health (FCH)</w:t>
      </w:r>
      <w:r>
        <w:rPr>
          <w:b/>
        </w:rPr>
        <w:t>--</w:t>
      </w:r>
      <w:r w:rsidRPr="00DD351D">
        <w:t xml:space="preserve">We have received a contract </w:t>
      </w:r>
      <w:proofErr w:type="gramStart"/>
      <w:r w:rsidRPr="00DD351D">
        <w:t>in the amount of</w:t>
      </w:r>
      <w:proofErr w:type="gramEnd"/>
      <w:r w:rsidRPr="00DD351D">
        <w:t xml:space="preserve"> $25,000 from the Foundation for Community Health to support our transportation program</w:t>
      </w:r>
      <w:r>
        <w:t xml:space="preserve">. </w:t>
      </w:r>
      <w:r w:rsidRPr="00DD351D">
        <w:t xml:space="preserve">Through the Foundations of the Hudson Valley, the Foundation also provided us with a $15,000 grant for general operating support, which </w:t>
      </w:r>
      <w:proofErr w:type="gramStart"/>
      <w:r w:rsidRPr="00DD351D">
        <w:t>was received</w:t>
      </w:r>
      <w:proofErr w:type="gramEnd"/>
      <w:r w:rsidRPr="00DD351D">
        <w:t xml:space="preserve"> in early January</w:t>
      </w:r>
      <w:r w:rsidR="006679CB">
        <w:t>.</w:t>
      </w:r>
    </w:p>
    <w:p w:rsidR="00DD351D" w:rsidRPr="00DD351D" w:rsidRDefault="00DD351D" w:rsidP="006679CB">
      <w:pPr>
        <w:spacing w:before="120" w:after="120"/>
        <w:ind w:left="576"/>
        <w:jc w:val="both"/>
      </w:pPr>
      <w:r w:rsidRPr="00DD351D">
        <w:rPr>
          <w:b/>
        </w:rPr>
        <w:t>Dyson Foundation</w:t>
      </w:r>
      <w:r>
        <w:t>—The Dyson Foundation has invited us to submit an application for General Operating Support for 2022 and 2023</w:t>
      </w:r>
      <w:r w:rsidR="006679CB">
        <w:t>.</w:t>
      </w:r>
    </w:p>
    <w:p w:rsidR="006679CB" w:rsidRDefault="006679CB" w:rsidP="006679CB">
      <w:pPr>
        <w:ind w:left="288"/>
        <w:jc w:val="both"/>
        <w:rPr>
          <w:b/>
          <w:sz w:val="24"/>
          <w:szCs w:val="24"/>
        </w:rPr>
      </w:pPr>
    </w:p>
    <w:p w:rsidR="00DD351D" w:rsidRDefault="00DD351D" w:rsidP="006679CB">
      <w:pPr>
        <w:ind w:left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Contracts </w:t>
      </w:r>
    </w:p>
    <w:p w:rsidR="00DD351D" w:rsidRPr="00DD351D" w:rsidRDefault="00DD351D" w:rsidP="006679CB">
      <w:pPr>
        <w:spacing w:before="120"/>
        <w:ind w:left="576"/>
        <w:jc w:val="both"/>
        <w:rPr>
          <w:b/>
          <w:szCs w:val="24"/>
        </w:rPr>
      </w:pPr>
      <w:r w:rsidRPr="00DD351D">
        <w:rPr>
          <w:b/>
          <w:szCs w:val="24"/>
        </w:rPr>
        <w:t>CCDOH</w:t>
      </w:r>
      <w:r>
        <w:rPr>
          <w:b/>
          <w:szCs w:val="24"/>
        </w:rPr>
        <w:t>—</w:t>
      </w:r>
      <w:r w:rsidRPr="00155CF4">
        <w:rPr>
          <w:szCs w:val="24"/>
        </w:rPr>
        <w:t>The Consortium renewed its contract with the Columbia County Department of Health to employ the Project Manager</w:t>
      </w:r>
      <w:r w:rsidR="00155CF4">
        <w:rPr>
          <w:szCs w:val="24"/>
        </w:rPr>
        <w:t xml:space="preserve"> of the Healing Communities Study.  We are also in the process of contracting to serve as the fiscal agent for the Community Impact Dollars associated with the same project</w:t>
      </w:r>
      <w:r w:rsidR="006679CB">
        <w:rPr>
          <w:szCs w:val="24"/>
        </w:rPr>
        <w:t>.</w:t>
      </w:r>
    </w:p>
    <w:p w:rsidR="00B14949" w:rsidRPr="006679CB" w:rsidRDefault="00670DEC" w:rsidP="006679CB">
      <w:pPr>
        <w:spacing w:before="120"/>
        <w:ind w:left="576"/>
        <w:jc w:val="both"/>
        <w:rPr>
          <w:szCs w:val="24"/>
        </w:rPr>
      </w:pPr>
      <w:r w:rsidRPr="00155CF4">
        <w:rPr>
          <w:b/>
          <w:szCs w:val="24"/>
        </w:rPr>
        <w:t>Roya Consulting</w:t>
      </w:r>
      <w:r w:rsidR="00155CF4">
        <w:rPr>
          <w:b/>
          <w:szCs w:val="24"/>
        </w:rPr>
        <w:t>--</w:t>
      </w:r>
      <w:r w:rsidR="006F45E5" w:rsidRPr="006679CB">
        <w:rPr>
          <w:szCs w:val="24"/>
        </w:rPr>
        <w:t xml:space="preserve">We are now contracted </w:t>
      </w:r>
      <w:r w:rsidR="00DD351D" w:rsidRPr="006679CB">
        <w:rPr>
          <w:szCs w:val="24"/>
        </w:rPr>
        <w:t xml:space="preserve">with Roya Consulting </w:t>
      </w:r>
      <w:r w:rsidR="006F45E5" w:rsidRPr="006679CB">
        <w:rPr>
          <w:szCs w:val="24"/>
        </w:rPr>
        <w:t xml:space="preserve">for </w:t>
      </w:r>
      <w:r w:rsidR="00DD351D" w:rsidRPr="006679CB">
        <w:rPr>
          <w:szCs w:val="24"/>
        </w:rPr>
        <w:t xml:space="preserve">development services.  This is </w:t>
      </w:r>
      <w:r w:rsidR="006F45E5" w:rsidRPr="006679CB">
        <w:rPr>
          <w:szCs w:val="24"/>
        </w:rPr>
        <w:t>a six-</w:t>
      </w:r>
      <w:r w:rsidR="00B14949" w:rsidRPr="006679CB">
        <w:rPr>
          <w:szCs w:val="24"/>
        </w:rPr>
        <w:t xml:space="preserve">month period beginning March </w:t>
      </w:r>
      <w:proofErr w:type="gramStart"/>
      <w:r w:rsidR="00B14949" w:rsidRPr="006679CB">
        <w:rPr>
          <w:szCs w:val="24"/>
        </w:rPr>
        <w:t>1</w:t>
      </w:r>
      <w:r w:rsidR="00B14949" w:rsidRPr="006679CB">
        <w:rPr>
          <w:szCs w:val="24"/>
          <w:vertAlign w:val="superscript"/>
        </w:rPr>
        <w:t>st</w:t>
      </w:r>
      <w:proofErr w:type="gramEnd"/>
      <w:r w:rsidR="00B14949" w:rsidRPr="006679CB">
        <w:rPr>
          <w:szCs w:val="24"/>
        </w:rPr>
        <w:t xml:space="preserve">.  Terms are $1,500 per month ($9K for 6 </w:t>
      </w:r>
      <w:proofErr w:type="spellStart"/>
      <w:r w:rsidR="00B14949" w:rsidRPr="006679CB">
        <w:rPr>
          <w:szCs w:val="24"/>
        </w:rPr>
        <w:t>mo</w:t>
      </w:r>
      <w:proofErr w:type="spellEnd"/>
      <w:r w:rsidR="00B14949" w:rsidRPr="006679CB">
        <w:rPr>
          <w:szCs w:val="24"/>
        </w:rPr>
        <w:t xml:space="preserve">) with an additional $600 for expenses of no more than $100/mo.  </w:t>
      </w:r>
      <w:r w:rsidR="00DD351D" w:rsidRPr="006679CB">
        <w:rPr>
          <w:szCs w:val="24"/>
        </w:rPr>
        <w:t xml:space="preserve">Roya’s principal, Michele Susko, and </w:t>
      </w:r>
      <w:r w:rsidR="00DD351D" w:rsidRPr="006679CB">
        <w:rPr>
          <w:szCs w:val="24"/>
        </w:rPr>
        <w:t xml:space="preserve">Anne </w:t>
      </w:r>
      <w:proofErr w:type="spellStart"/>
      <w:r w:rsidR="00DD351D" w:rsidRPr="006679CB">
        <w:rPr>
          <w:szCs w:val="24"/>
        </w:rPr>
        <w:t>Leiber</w:t>
      </w:r>
      <w:proofErr w:type="spellEnd"/>
      <w:r w:rsidR="00DD351D" w:rsidRPr="006679CB">
        <w:rPr>
          <w:szCs w:val="24"/>
        </w:rPr>
        <w:t>, the VP for Development at Upper Hudson Planned Parenthood</w:t>
      </w:r>
      <w:r w:rsidR="00DD351D" w:rsidRPr="006679CB">
        <w:rPr>
          <w:szCs w:val="24"/>
        </w:rPr>
        <w:t>, and have begun meeting once monthly</w:t>
      </w:r>
      <w:r w:rsidR="00155CF4" w:rsidRPr="006679CB">
        <w:rPr>
          <w:szCs w:val="24"/>
        </w:rPr>
        <w:t>.</w:t>
      </w:r>
    </w:p>
    <w:p w:rsidR="002529B8" w:rsidRDefault="002529B8" w:rsidP="006679CB">
      <w:pPr>
        <w:ind w:left="288"/>
        <w:jc w:val="both"/>
        <w:rPr>
          <w:sz w:val="24"/>
          <w:szCs w:val="24"/>
        </w:rPr>
      </w:pPr>
    </w:p>
    <w:p w:rsidR="0038628F" w:rsidRPr="0038628F" w:rsidRDefault="0038628F" w:rsidP="003B642E">
      <w:pPr>
        <w:ind w:left="288"/>
        <w:jc w:val="both"/>
        <w:rPr>
          <w:sz w:val="24"/>
        </w:rPr>
      </w:pPr>
      <w:r w:rsidRPr="0038628F">
        <w:rPr>
          <w:b/>
          <w:sz w:val="24"/>
        </w:rPr>
        <w:t>Paycheck Protection Loan</w:t>
      </w:r>
    </w:p>
    <w:p w:rsidR="0038628F" w:rsidRDefault="0038628F" w:rsidP="003B642E">
      <w:pPr>
        <w:spacing w:before="120"/>
        <w:ind w:left="288"/>
        <w:jc w:val="both"/>
      </w:pPr>
      <w:r>
        <w:t xml:space="preserve">John and I met with Jeffrey Paille at </w:t>
      </w:r>
      <w:proofErr w:type="spellStart"/>
      <w:r>
        <w:t>Bonadio</w:t>
      </w:r>
      <w:proofErr w:type="spellEnd"/>
      <w:r>
        <w:t xml:space="preserve"> regarding our PPP loan.  Subsequently, Jeff sent us an engagement letter for professional consulting services related to the PPP loan forgiveness application, with an estimated project cost of $2-3,000.  It is our feeling that this expense will help us to maximize our loan forgiveness.</w:t>
      </w:r>
      <w:r>
        <w:t xml:space="preserve"> We plan to prepare the forgiveness application after the completion of the audit. </w:t>
      </w:r>
    </w:p>
    <w:p w:rsidR="002529B8" w:rsidRPr="002529B8" w:rsidRDefault="002529B8" w:rsidP="006679CB">
      <w:pPr>
        <w:jc w:val="both"/>
        <w:rPr>
          <w:b/>
          <w:sz w:val="28"/>
          <w:szCs w:val="24"/>
        </w:rPr>
      </w:pPr>
      <w:r w:rsidRPr="002529B8">
        <w:rPr>
          <w:b/>
          <w:sz w:val="28"/>
          <w:szCs w:val="24"/>
        </w:rPr>
        <w:lastRenderedPageBreak/>
        <w:t>Personnel Management</w:t>
      </w:r>
    </w:p>
    <w:p w:rsidR="002529B8" w:rsidRDefault="002529B8" w:rsidP="006679CB">
      <w:pPr>
        <w:pStyle w:val="ListParagraph"/>
        <w:numPr>
          <w:ilvl w:val="2"/>
          <w:numId w:val="1"/>
        </w:numPr>
        <w:spacing w:before="120" w:after="120"/>
        <w:ind w:left="360"/>
        <w:jc w:val="both"/>
      </w:pPr>
      <w:r>
        <w:t xml:space="preserve">In early March, </w:t>
      </w:r>
      <w:r>
        <w:t>Mahfuzur Rahman</w:t>
      </w:r>
      <w:r>
        <w:t xml:space="preserve"> joined our team as a Navigator. </w:t>
      </w:r>
      <w:proofErr w:type="spellStart"/>
      <w:r>
        <w:t>Mahfuz</w:t>
      </w:r>
      <w:proofErr w:type="spellEnd"/>
      <w:r>
        <w:t xml:space="preserve"> speaks </w:t>
      </w:r>
      <w:r>
        <w:t>Bangla, Hindi and Urdu</w:t>
      </w:r>
      <w:r>
        <w:t>, which are critically important language skills for us to have represented on staff</w:t>
      </w:r>
      <w:r>
        <w:t>.</w:t>
      </w:r>
    </w:p>
    <w:p w:rsidR="002529B8" w:rsidRDefault="002529B8" w:rsidP="006679CB">
      <w:pPr>
        <w:pStyle w:val="ListParagraph"/>
        <w:numPr>
          <w:ilvl w:val="2"/>
          <w:numId w:val="1"/>
        </w:numPr>
        <w:spacing w:before="120" w:after="120"/>
        <w:ind w:left="360"/>
        <w:jc w:val="both"/>
      </w:pPr>
      <w:r>
        <w:t xml:space="preserve">Last week, Lynda Scheer, who worked primarily as an Information and Assistance Specialist in the </w:t>
      </w:r>
      <w:proofErr w:type="spellStart"/>
      <w:r>
        <w:t>NYConnects</w:t>
      </w:r>
      <w:proofErr w:type="spellEnd"/>
      <w:r>
        <w:t xml:space="preserve"> Program but </w:t>
      </w:r>
      <w:proofErr w:type="gramStart"/>
      <w:r>
        <w:t>also</w:t>
      </w:r>
      <w:proofErr w:type="gramEnd"/>
      <w:r>
        <w:t xml:space="preserve"> worked in the Prescription Access and Referral Program, Financial Assistance Funds and the Independent Consumer Advisory Network (ICAN) Program, separated from the agency</w:t>
      </w:r>
      <w:r>
        <w:t xml:space="preserve">.  </w:t>
      </w:r>
      <w:r>
        <w:t xml:space="preserve">As her departure was abrupt, we are currently exploring how to staff these programs.  </w:t>
      </w:r>
    </w:p>
    <w:p w:rsidR="00B14949" w:rsidRPr="0038628F" w:rsidRDefault="002529B8" w:rsidP="006679CB">
      <w:pPr>
        <w:pStyle w:val="ListParagraph"/>
        <w:numPr>
          <w:ilvl w:val="2"/>
          <w:numId w:val="1"/>
        </w:numPr>
        <w:spacing w:before="120" w:after="120"/>
        <w:ind w:left="360"/>
        <w:jc w:val="both"/>
        <w:rPr>
          <w:sz w:val="24"/>
          <w:szCs w:val="24"/>
        </w:rPr>
      </w:pPr>
      <w:r>
        <w:t xml:space="preserve">Now that the TOB contract is moving forward, Karen dePeyster </w:t>
      </w:r>
      <w:proofErr w:type="gramStart"/>
      <w:r>
        <w:t>has been restored</w:t>
      </w:r>
      <w:proofErr w:type="gramEnd"/>
      <w:r>
        <w:t xml:space="preserve"> to full-time status and we have started to interview candidates for the position of Community Engagement Coordinator.  </w:t>
      </w:r>
    </w:p>
    <w:p w:rsidR="00B14949" w:rsidRDefault="00B14949" w:rsidP="006679CB">
      <w:pPr>
        <w:pStyle w:val="ListParagraph"/>
        <w:ind w:left="-1800"/>
        <w:jc w:val="both"/>
        <w:rPr>
          <w:sz w:val="24"/>
          <w:szCs w:val="24"/>
        </w:rPr>
      </w:pPr>
    </w:p>
    <w:p w:rsidR="0038628F" w:rsidRDefault="0038628F" w:rsidP="006679CB">
      <w:pPr>
        <w:jc w:val="both"/>
        <w:rPr>
          <w:b/>
          <w:sz w:val="28"/>
        </w:rPr>
      </w:pPr>
      <w:r w:rsidRPr="0038628F">
        <w:rPr>
          <w:b/>
          <w:sz w:val="28"/>
        </w:rPr>
        <w:t>Other things on our plates</w:t>
      </w:r>
    </w:p>
    <w:p w:rsidR="006679CB" w:rsidRPr="006679CB" w:rsidRDefault="006679CB" w:rsidP="003B642E">
      <w:pPr>
        <w:spacing w:before="120" w:after="120"/>
        <w:ind w:left="288"/>
        <w:jc w:val="both"/>
        <w:rPr>
          <w:b/>
          <w:sz w:val="24"/>
          <w:szCs w:val="24"/>
        </w:rPr>
      </w:pPr>
      <w:r w:rsidRPr="006679CB">
        <w:rPr>
          <w:b/>
          <w:sz w:val="24"/>
          <w:szCs w:val="24"/>
        </w:rPr>
        <w:t xml:space="preserve">State and federal advocacy </w:t>
      </w:r>
    </w:p>
    <w:p w:rsidR="006679CB" w:rsidRPr="006679CB" w:rsidRDefault="006679CB" w:rsidP="006679CB">
      <w:pPr>
        <w:ind w:left="288"/>
        <w:jc w:val="both"/>
        <w:rPr>
          <w:szCs w:val="24"/>
        </w:rPr>
      </w:pPr>
      <w:r w:rsidRPr="006679CB">
        <w:rPr>
          <w:szCs w:val="24"/>
        </w:rPr>
        <w:t xml:space="preserve">The months of February and March involved a lot of state and federal advocacy, coordinated through NYSARH.  </w:t>
      </w:r>
    </w:p>
    <w:p w:rsidR="006679CB" w:rsidRPr="006679CB" w:rsidRDefault="006679CB" w:rsidP="006679CB">
      <w:pPr>
        <w:ind w:left="288"/>
        <w:jc w:val="both"/>
        <w:rPr>
          <w:szCs w:val="24"/>
        </w:rPr>
      </w:pPr>
    </w:p>
    <w:p w:rsidR="006679CB" w:rsidRPr="006679CB" w:rsidRDefault="006679CB" w:rsidP="006679CB">
      <w:pPr>
        <w:ind w:left="288"/>
        <w:jc w:val="both"/>
        <w:rPr>
          <w:szCs w:val="24"/>
        </w:rPr>
      </w:pPr>
      <w:r w:rsidRPr="006679CB">
        <w:rPr>
          <w:szCs w:val="24"/>
        </w:rPr>
        <w:t xml:space="preserve">At the top of our state platform was restoration of funding to the Rural Health Network Development and Rural Access Hospital Programs; funding for health care workforce programs, including AHECs; creation of the Rural EMS Task Force; Rural Broadband and Telehealth (audio only); and empaneling the Rural Health Council. </w:t>
      </w:r>
    </w:p>
    <w:p w:rsidR="006679CB" w:rsidRPr="006679CB" w:rsidRDefault="006679CB" w:rsidP="006679CB">
      <w:pPr>
        <w:ind w:left="288"/>
        <w:jc w:val="both"/>
        <w:rPr>
          <w:szCs w:val="24"/>
        </w:rPr>
      </w:pPr>
      <w:r w:rsidRPr="006679CB">
        <w:rPr>
          <w:szCs w:val="24"/>
        </w:rPr>
        <w:t xml:space="preserve">At the State level, I have met or spoken with the following: Senators Michelle Hinchey and </w:t>
      </w:r>
      <w:proofErr w:type="spellStart"/>
      <w:r w:rsidRPr="006679CB">
        <w:rPr>
          <w:szCs w:val="24"/>
        </w:rPr>
        <w:t>Persaud</w:t>
      </w:r>
      <w:proofErr w:type="spellEnd"/>
      <w:r w:rsidRPr="006679CB">
        <w:rPr>
          <w:szCs w:val="24"/>
        </w:rPr>
        <w:t xml:space="preserve"> and Assembly Members </w:t>
      </w:r>
      <w:proofErr w:type="spellStart"/>
      <w:r w:rsidRPr="006679CB">
        <w:rPr>
          <w:szCs w:val="24"/>
        </w:rPr>
        <w:t>Didi</w:t>
      </w:r>
      <w:proofErr w:type="spellEnd"/>
      <w:r w:rsidRPr="006679CB">
        <w:rPr>
          <w:szCs w:val="24"/>
        </w:rPr>
        <w:t xml:space="preserve"> Barrett, Aileen Gunther, Richard Gottfried, Phil </w:t>
      </w:r>
      <w:proofErr w:type="spellStart"/>
      <w:r w:rsidRPr="006679CB">
        <w:rPr>
          <w:szCs w:val="24"/>
        </w:rPr>
        <w:t>Steck</w:t>
      </w:r>
      <w:proofErr w:type="spellEnd"/>
      <w:r w:rsidRPr="006679CB">
        <w:rPr>
          <w:szCs w:val="24"/>
        </w:rPr>
        <w:t xml:space="preserve">, Speaker Heastie </w:t>
      </w:r>
    </w:p>
    <w:p w:rsidR="006679CB" w:rsidRPr="006679CB" w:rsidRDefault="006679CB" w:rsidP="006679CB">
      <w:pPr>
        <w:ind w:left="288"/>
        <w:jc w:val="both"/>
        <w:rPr>
          <w:szCs w:val="24"/>
        </w:rPr>
      </w:pPr>
    </w:p>
    <w:p w:rsidR="006679CB" w:rsidRPr="006679CB" w:rsidRDefault="006679CB" w:rsidP="006679CB">
      <w:pPr>
        <w:ind w:left="288"/>
        <w:jc w:val="both"/>
        <w:rPr>
          <w:szCs w:val="24"/>
        </w:rPr>
      </w:pPr>
      <w:proofErr w:type="gramStart"/>
      <w:r w:rsidRPr="006679CB">
        <w:rPr>
          <w:szCs w:val="24"/>
        </w:rPr>
        <w:t>At the top of our federal platform was support for the Federal Office of Rural Health Policy (within HRSA, within HHS); formation of the Office of Rural Health at the CDC; funding for and implementation of the National Healthcare Workforce Commission; 340B, Medicare sequestration relief, the Paycheck Protection Program Access for Rural Hospitals Act, and the Rural Hospital Closure Relief Act.</w:t>
      </w:r>
      <w:proofErr w:type="gramEnd"/>
      <w:r>
        <w:rPr>
          <w:szCs w:val="24"/>
        </w:rPr>
        <w:t xml:space="preserve">  </w:t>
      </w:r>
      <w:r w:rsidRPr="006679CB">
        <w:rPr>
          <w:szCs w:val="24"/>
        </w:rPr>
        <w:t>At the Federal level, I have met with the offices Senators Chuck Schumer and Kirsten Gillibrand</w:t>
      </w:r>
    </w:p>
    <w:p w:rsidR="006679CB" w:rsidRDefault="006679CB" w:rsidP="003B642E">
      <w:pPr>
        <w:spacing w:before="120" w:after="120"/>
        <w:ind w:left="288"/>
        <w:jc w:val="both"/>
        <w:rPr>
          <w:b/>
          <w:sz w:val="24"/>
        </w:rPr>
      </w:pPr>
      <w:r>
        <w:rPr>
          <w:b/>
          <w:sz w:val="24"/>
        </w:rPr>
        <w:t>Involvement in the Vaccine Program</w:t>
      </w:r>
    </w:p>
    <w:p w:rsidR="006679CB" w:rsidRDefault="006679CB" w:rsidP="006679CB">
      <w:pPr>
        <w:ind w:left="288"/>
        <w:jc w:val="both"/>
      </w:pPr>
      <w:r>
        <w:t xml:space="preserve">In early January, I received permission from Gabrielle Armenia, the Director of the State’s Navigator Program, to utilize Navigators to assist residents of Columbia and Greene Counties with </w:t>
      </w:r>
      <w:r w:rsidRPr="0038628F">
        <w:rPr>
          <w:b/>
        </w:rPr>
        <w:t>online vaccine registrations</w:t>
      </w:r>
      <w:r>
        <w:t xml:space="preserve"> </w:t>
      </w:r>
      <w:r w:rsidRPr="003B642E">
        <w:rPr>
          <w:b/>
        </w:rPr>
        <w:t>and appointment scheduling</w:t>
      </w:r>
      <w:r w:rsidR="003B642E">
        <w:rPr>
          <w:b/>
        </w:rPr>
        <w:t>.</w:t>
      </w:r>
      <w:r>
        <w:t xml:space="preserve">  Between February 16</w:t>
      </w:r>
      <w:r w:rsidRPr="00CD2FC6">
        <w:rPr>
          <w:vertAlign w:val="superscript"/>
        </w:rPr>
        <w:t>th</w:t>
      </w:r>
      <w:r>
        <w:t>, when we received our first call, and March 31</w:t>
      </w:r>
      <w:r w:rsidRPr="00CD2FC6">
        <w:rPr>
          <w:vertAlign w:val="superscript"/>
        </w:rPr>
        <w:t>st</w:t>
      </w:r>
      <w:r>
        <w:t xml:space="preserve">, we have assisted 768 residents of Columbia and Greene Counties. </w:t>
      </w:r>
    </w:p>
    <w:p w:rsidR="006679CB" w:rsidRDefault="006679CB" w:rsidP="006679CB">
      <w:pPr>
        <w:ind w:left="288"/>
        <w:jc w:val="both"/>
      </w:pPr>
    </w:p>
    <w:p w:rsidR="006679CB" w:rsidRDefault="006679CB" w:rsidP="006679CB">
      <w:pPr>
        <w:ind w:left="288"/>
        <w:jc w:val="both"/>
      </w:pPr>
      <w:r>
        <w:t xml:space="preserve">I continue to participate in the </w:t>
      </w:r>
      <w:r w:rsidRPr="0038628F">
        <w:rPr>
          <w:b/>
        </w:rPr>
        <w:t>Capital Region Vaccine Network’s Health Equity Task Force</w:t>
      </w:r>
      <w:r>
        <w:t xml:space="preserve"> and advocate for approaches that consider rural populations and their differential access to the vaccine (a surprisingly difficult task, as most of the conversations about health equity </w:t>
      </w:r>
      <w:proofErr w:type="gramStart"/>
      <w:r>
        <w:t>are exclusively focused</w:t>
      </w:r>
      <w:proofErr w:type="gramEnd"/>
      <w:r>
        <w:t xml:space="preserve"> on race and ethnicity, and ignore other factors, such as rurality). </w:t>
      </w:r>
    </w:p>
    <w:p w:rsidR="00CD2FC6" w:rsidRPr="00CD2FC6" w:rsidRDefault="00CD2FC6" w:rsidP="003B642E">
      <w:pPr>
        <w:spacing w:before="120" w:after="120"/>
        <w:ind w:left="288"/>
        <w:jc w:val="both"/>
        <w:rPr>
          <w:b/>
          <w:sz w:val="24"/>
        </w:rPr>
      </w:pPr>
      <w:r w:rsidRPr="00CD2FC6">
        <w:rPr>
          <w:b/>
          <w:sz w:val="24"/>
        </w:rPr>
        <w:t>Policy work</w:t>
      </w:r>
    </w:p>
    <w:p w:rsidR="00A475AD" w:rsidRDefault="00A475AD" w:rsidP="006679CB">
      <w:pPr>
        <w:ind w:left="288"/>
        <w:jc w:val="both"/>
      </w:pPr>
      <w:r>
        <w:t xml:space="preserve">We had a difficult time renewing our business lines of insurance this year, as our traditional carrier, Philadelphia Insurance Company, proposed </w:t>
      </w:r>
      <w:proofErr w:type="gramStart"/>
      <w:r>
        <w:t>to dramatically reduce</w:t>
      </w:r>
      <w:proofErr w:type="gramEnd"/>
      <w:r>
        <w:t xml:space="preserve"> our Abuse and Molestation coverage unless we implemented a number of provisions.  Those </w:t>
      </w:r>
      <w:proofErr w:type="gramStart"/>
      <w:r>
        <w:t>included:</w:t>
      </w:r>
      <w:proofErr w:type="gramEnd"/>
      <w:r>
        <w:t xml:space="preserve"> background checks on all staff, new and existing; abuse and molestation training </w:t>
      </w:r>
      <w:r w:rsidR="00973937">
        <w:t xml:space="preserve">for all staff; and the creation of </w:t>
      </w:r>
      <w:r w:rsidR="003B642E">
        <w:rPr>
          <w:b/>
        </w:rPr>
        <w:t>A</w:t>
      </w:r>
      <w:r w:rsidR="00973937" w:rsidRPr="00CD2FC6">
        <w:rPr>
          <w:b/>
        </w:rPr>
        <w:t xml:space="preserve">buse </w:t>
      </w:r>
      <w:r w:rsidR="003B642E">
        <w:rPr>
          <w:b/>
        </w:rPr>
        <w:t>Prevention P</w:t>
      </w:r>
      <w:r w:rsidR="00CD2FC6" w:rsidRPr="00CD2FC6">
        <w:rPr>
          <w:b/>
        </w:rPr>
        <w:t>olicy</w:t>
      </w:r>
      <w:r w:rsidR="00CD2FC6">
        <w:t xml:space="preserve"> for personnel.  The last </w:t>
      </w:r>
      <w:proofErr w:type="gramStart"/>
      <w:r w:rsidR="00CD2FC6">
        <w:t>is respectfully submitted</w:t>
      </w:r>
      <w:proofErr w:type="gramEnd"/>
      <w:r w:rsidR="00CD2FC6">
        <w:t xml:space="preserve"> to the Board for your review and approval. </w:t>
      </w:r>
    </w:p>
    <w:p w:rsidR="00973937" w:rsidRDefault="00973937" w:rsidP="006679CB">
      <w:pPr>
        <w:ind w:left="288"/>
        <w:jc w:val="both"/>
      </w:pPr>
    </w:p>
    <w:p w:rsidR="00246F68" w:rsidRDefault="00973937" w:rsidP="003B642E">
      <w:pPr>
        <w:ind w:left="288"/>
        <w:jc w:val="both"/>
      </w:pPr>
      <w:r>
        <w:t xml:space="preserve">As previously reported, we had been awaiting further guidance from the State with regard to certain elements of the statute that created </w:t>
      </w:r>
      <w:r w:rsidRPr="00CD2FC6">
        <w:t xml:space="preserve">New York Paid Sick Leave.  </w:t>
      </w:r>
      <w:r>
        <w:t xml:space="preserve">That has not come, so we instead consulted with an attorney at NYCON, utilizing the support provided by the Foundation for Community Health, </w:t>
      </w:r>
      <w:r w:rsidR="00CD2FC6">
        <w:t xml:space="preserve">and have incorporated the guidance we received into a </w:t>
      </w:r>
      <w:r w:rsidR="00CD2FC6" w:rsidRPr="00CD2FC6">
        <w:rPr>
          <w:b/>
        </w:rPr>
        <w:t>New York Paid Sick Leave Policy</w:t>
      </w:r>
      <w:r w:rsidR="00CD2FC6">
        <w:t xml:space="preserve">.  This policy treats paid sick leave differently than personal and vacation leave, which implicated a number of other policies, all of which we respectfully submit to the Board for your review and approval. </w:t>
      </w:r>
    </w:p>
    <w:sectPr w:rsidR="00246F68" w:rsidSect="00667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3F3"/>
    <w:multiLevelType w:val="hybridMultilevel"/>
    <w:tmpl w:val="4224E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33B6"/>
    <w:multiLevelType w:val="hybridMultilevel"/>
    <w:tmpl w:val="0EEA7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EEA"/>
    <w:multiLevelType w:val="hybridMultilevel"/>
    <w:tmpl w:val="C94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3E4C3D1C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E020B"/>
    <w:multiLevelType w:val="hybridMultilevel"/>
    <w:tmpl w:val="834C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C3D1C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C2187"/>
    <w:multiLevelType w:val="hybridMultilevel"/>
    <w:tmpl w:val="C6FC5C9C"/>
    <w:lvl w:ilvl="0" w:tplc="3E4C3D1C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EC"/>
    <w:rsid w:val="00155CF4"/>
    <w:rsid w:val="00246F68"/>
    <w:rsid w:val="002529B8"/>
    <w:rsid w:val="0038628F"/>
    <w:rsid w:val="003B642E"/>
    <w:rsid w:val="00521F93"/>
    <w:rsid w:val="006679CB"/>
    <w:rsid w:val="00670DEC"/>
    <w:rsid w:val="006F45E5"/>
    <w:rsid w:val="00973937"/>
    <w:rsid w:val="00A475AD"/>
    <w:rsid w:val="00AA6DFB"/>
    <w:rsid w:val="00AF1E64"/>
    <w:rsid w:val="00B101E7"/>
    <w:rsid w:val="00B14949"/>
    <w:rsid w:val="00C25D2E"/>
    <w:rsid w:val="00CD2FC6"/>
    <w:rsid w:val="00D40D79"/>
    <w:rsid w:val="00D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2293"/>
  <w15:chartTrackingRefBased/>
  <w15:docId w15:val="{75D89DC1-7E74-4742-A132-3D5B7FC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D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DE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6</cp:revision>
  <cp:lastPrinted>2021-03-03T13:39:00Z</cp:lastPrinted>
  <dcterms:created xsi:type="dcterms:W3CDTF">2021-04-05T15:34:00Z</dcterms:created>
  <dcterms:modified xsi:type="dcterms:W3CDTF">2021-04-05T17:23:00Z</dcterms:modified>
</cp:coreProperties>
</file>