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E6" w:rsidRPr="009D5E8E" w:rsidRDefault="00D50EFD" w:rsidP="005A308E">
      <w:pPr>
        <w:jc w:val="both"/>
        <w:rPr>
          <w:b/>
          <w:color w:val="000000" w:themeColor="text1"/>
        </w:rPr>
      </w:pPr>
      <w:r w:rsidRPr="009D5E8E">
        <w:rPr>
          <w:b/>
          <w:noProof/>
          <w:color w:val="000000" w:themeColor="text1"/>
        </w:rPr>
        <w:drawing>
          <wp:anchor distT="0" distB="0" distL="114300" distR="114300" simplePos="0" relativeHeight="251658240" behindDoc="1" locked="0" layoutInCell="1" allowOverlap="1">
            <wp:simplePos x="0" y="0"/>
            <wp:positionH relativeFrom="margin">
              <wp:align>center</wp:align>
            </wp:positionH>
            <wp:positionV relativeFrom="paragraph">
              <wp:posOffset>-7687</wp:posOffset>
            </wp:positionV>
            <wp:extent cx="5325745" cy="8858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325745" cy="885825"/>
                    </a:xfrm>
                    <a:prstGeom prst="rect">
                      <a:avLst/>
                    </a:prstGeom>
                  </pic:spPr>
                </pic:pic>
              </a:graphicData>
            </a:graphic>
          </wp:anchor>
        </w:drawing>
      </w:r>
    </w:p>
    <w:p w:rsidR="008C1118" w:rsidRPr="009D5E8E" w:rsidRDefault="00D50EFD" w:rsidP="005A308E">
      <w:pPr>
        <w:tabs>
          <w:tab w:val="left" w:pos="8205"/>
        </w:tabs>
        <w:jc w:val="both"/>
        <w:rPr>
          <w:b/>
          <w:color w:val="000000" w:themeColor="text1"/>
        </w:rPr>
      </w:pPr>
      <w:r w:rsidRPr="009D5E8E">
        <w:rPr>
          <w:b/>
          <w:color w:val="000000" w:themeColor="text1"/>
        </w:rPr>
        <w:tab/>
      </w:r>
    </w:p>
    <w:p w:rsidR="00D50EFD" w:rsidRPr="009D5E8E" w:rsidRDefault="00D50EFD" w:rsidP="005A308E">
      <w:pPr>
        <w:jc w:val="both"/>
        <w:rPr>
          <w:b/>
          <w:color w:val="000000" w:themeColor="text1"/>
        </w:rPr>
      </w:pPr>
    </w:p>
    <w:p w:rsidR="00D50EFD" w:rsidRPr="009D5E8E" w:rsidRDefault="00D50EFD" w:rsidP="005A308E">
      <w:pPr>
        <w:spacing w:before="120"/>
        <w:jc w:val="both"/>
        <w:rPr>
          <w:b/>
          <w:color w:val="000000" w:themeColor="text1"/>
        </w:rPr>
      </w:pPr>
    </w:p>
    <w:p w:rsidR="00C558C2" w:rsidRDefault="00C558C2" w:rsidP="005A308E">
      <w:pPr>
        <w:spacing w:before="120"/>
        <w:jc w:val="center"/>
        <w:rPr>
          <w:b/>
          <w:color w:val="000000" w:themeColor="text1"/>
          <w:sz w:val="28"/>
        </w:rPr>
      </w:pPr>
    </w:p>
    <w:p w:rsidR="008C1118" w:rsidRPr="009D5E8E" w:rsidRDefault="0091521C" w:rsidP="005A308E">
      <w:pPr>
        <w:spacing w:before="120"/>
        <w:jc w:val="center"/>
        <w:rPr>
          <w:b/>
          <w:color w:val="000000" w:themeColor="text1"/>
          <w:sz w:val="28"/>
        </w:rPr>
      </w:pPr>
      <w:r w:rsidRPr="009D5E8E">
        <w:rPr>
          <w:b/>
          <w:color w:val="000000" w:themeColor="text1"/>
          <w:sz w:val="28"/>
        </w:rPr>
        <w:t xml:space="preserve">Executive Director’s </w:t>
      </w:r>
      <w:r w:rsidR="00781B88" w:rsidRPr="009D5E8E">
        <w:rPr>
          <w:b/>
          <w:color w:val="000000" w:themeColor="text1"/>
          <w:sz w:val="28"/>
        </w:rPr>
        <w:t xml:space="preserve">Report to </w:t>
      </w:r>
      <w:r w:rsidR="00B81747" w:rsidRPr="009D5E8E">
        <w:rPr>
          <w:b/>
          <w:color w:val="000000" w:themeColor="text1"/>
          <w:sz w:val="28"/>
        </w:rPr>
        <w:t xml:space="preserve">the </w:t>
      </w:r>
      <w:r w:rsidR="00CC52DC">
        <w:rPr>
          <w:b/>
          <w:color w:val="000000" w:themeColor="text1"/>
          <w:sz w:val="28"/>
        </w:rPr>
        <w:t>Board</w:t>
      </w:r>
    </w:p>
    <w:p w:rsidR="001477E4" w:rsidRPr="009D5E8E" w:rsidRDefault="00CC52DC" w:rsidP="005A308E">
      <w:pPr>
        <w:jc w:val="center"/>
        <w:rPr>
          <w:color w:val="000000" w:themeColor="text1"/>
          <w:sz w:val="28"/>
        </w:rPr>
      </w:pPr>
      <w:r>
        <w:rPr>
          <w:b/>
          <w:color w:val="000000" w:themeColor="text1"/>
          <w:sz w:val="28"/>
        </w:rPr>
        <w:t>June 3</w:t>
      </w:r>
      <w:r w:rsidR="009D5E8E" w:rsidRPr="009D5E8E">
        <w:rPr>
          <w:b/>
          <w:color w:val="000000" w:themeColor="text1"/>
          <w:sz w:val="28"/>
        </w:rPr>
        <w:t>, 2020</w:t>
      </w:r>
    </w:p>
    <w:p w:rsidR="009D5E8E" w:rsidRPr="009D5E8E" w:rsidRDefault="009D5E8E" w:rsidP="00251C2B">
      <w:pPr>
        <w:spacing w:after="120"/>
        <w:ind w:left="288"/>
        <w:jc w:val="both"/>
        <w:rPr>
          <w:b/>
          <w:color w:val="000000" w:themeColor="text1"/>
          <w:sz w:val="28"/>
        </w:rPr>
      </w:pPr>
      <w:r w:rsidRPr="009D5E8E">
        <w:rPr>
          <w:b/>
          <w:color w:val="000000" w:themeColor="text1"/>
          <w:sz w:val="28"/>
        </w:rPr>
        <w:t>Current Program Updates</w:t>
      </w:r>
    </w:p>
    <w:p w:rsidR="005E7DDC" w:rsidRDefault="009D5E8E" w:rsidP="00C558C2">
      <w:pPr>
        <w:ind w:left="576" w:right="288"/>
        <w:jc w:val="both"/>
        <w:rPr>
          <w:color w:val="000000" w:themeColor="text1"/>
        </w:rPr>
      </w:pPr>
      <w:r w:rsidRPr="009D5E8E">
        <w:rPr>
          <w:color w:val="000000" w:themeColor="text1"/>
        </w:rPr>
        <w:t>All progra</w:t>
      </w:r>
      <w:r w:rsidR="00CC52DC">
        <w:rPr>
          <w:color w:val="000000" w:themeColor="text1"/>
        </w:rPr>
        <w:t>ms/servic</w:t>
      </w:r>
      <w:r w:rsidR="00A152A5">
        <w:rPr>
          <w:color w:val="000000" w:themeColor="text1"/>
        </w:rPr>
        <w:t>es continue to operate, albeit in a different way.</w:t>
      </w:r>
      <w:r w:rsidRPr="009D5E8E">
        <w:rPr>
          <w:color w:val="000000" w:themeColor="text1"/>
        </w:rPr>
        <w:t xml:space="preserve"> </w:t>
      </w:r>
    </w:p>
    <w:p w:rsidR="005E7DDC" w:rsidRDefault="005E7DDC" w:rsidP="00C558C2">
      <w:pPr>
        <w:ind w:left="576" w:right="288"/>
        <w:jc w:val="both"/>
        <w:rPr>
          <w:color w:val="000000" w:themeColor="text1"/>
        </w:rPr>
      </w:pPr>
    </w:p>
    <w:p w:rsidR="005E7DDC" w:rsidRPr="005E7DDC" w:rsidRDefault="005E7DDC" w:rsidP="00251C2B">
      <w:pPr>
        <w:spacing w:line="259" w:lineRule="auto"/>
        <w:ind w:left="576" w:right="288"/>
        <w:rPr>
          <w:b/>
          <w:color w:val="000000" w:themeColor="text1"/>
        </w:rPr>
      </w:pPr>
      <w:r w:rsidRPr="005E7DDC">
        <w:rPr>
          <w:b/>
          <w:color w:val="000000" w:themeColor="text1"/>
        </w:rPr>
        <w:t>CARTS</w:t>
      </w:r>
    </w:p>
    <w:p w:rsidR="001D67DA" w:rsidRPr="001D67DA" w:rsidRDefault="00CC52DC" w:rsidP="00C558C2">
      <w:pPr>
        <w:ind w:left="576" w:right="288"/>
        <w:jc w:val="both"/>
        <w:rPr>
          <w:color w:val="000000" w:themeColor="text1"/>
        </w:rPr>
      </w:pPr>
      <w:r w:rsidRPr="000255CE">
        <w:rPr>
          <w:color w:val="000000" w:themeColor="text1"/>
        </w:rPr>
        <w:t>CARTS service delivery, in particular, has been sig</w:t>
      </w:r>
      <w:r w:rsidR="009D5E8E" w:rsidRPr="000255CE">
        <w:rPr>
          <w:color w:val="000000" w:themeColor="text1"/>
        </w:rPr>
        <w:t xml:space="preserve">nificantly reduced.  Between 3/16 and </w:t>
      </w:r>
      <w:r w:rsidR="00EF7CC4" w:rsidRPr="000255CE">
        <w:rPr>
          <w:color w:val="000000" w:themeColor="text1"/>
        </w:rPr>
        <w:t>5/</w:t>
      </w:r>
      <w:r w:rsidR="000C06AE" w:rsidRPr="000255CE">
        <w:rPr>
          <w:color w:val="000000" w:themeColor="text1"/>
        </w:rPr>
        <w:t>2</w:t>
      </w:r>
      <w:r w:rsidR="00A152A5">
        <w:rPr>
          <w:color w:val="000000" w:themeColor="text1"/>
        </w:rPr>
        <w:t>9</w:t>
      </w:r>
      <w:r w:rsidR="009D5E8E" w:rsidRPr="000255CE">
        <w:rPr>
          <w:color w:val="000000" w:themeColor="text1"/>
        </w:rPr>
        <w:t xml:space="preserve">, completed rides were </w:t>
      </w:r>
      <w:r w:rsidR="00251C2B">
        <w:rPr>
          <w:color w:val="000000" w:themeColor="text1"/>
        </w:rPr>
        <w:t>59</w:t>
      </w:r>
      <w:r w:rsidR="009D5E8E" w:rsidRPr="000255CE">
        <w:rPr>
          <w:color w:val="000000" w:themeColor="text1"/>
        </w:rPr>
        <w:t xml:space="preserve">% </w:t>
      </w:r>
      <w:r w:rsidR="000255CE" w:rsidRPr="000255CE">
        <w:rPr>
          <w:color w:val="000000" w:themeColor="text1"/>
        </w:rPr>
        <w:t>fewer</w:t>
      </w:r>
      <w:r w:rsidR="009D5E8E" w:rsidRPr="000255CE">
        <w:rPr>
          <w:color w:val="000000" w:themeColor="text1"/>
        </w:rPr>
        <w:t xml:space="preserve"> and unique riders were 5</w:t>
      </w:r>
      <w:r w:rsidR="00251C2B">
        <w:rPr>
          <w:color w:val="000000" w:themeColor="text1"/>
        </w:rPr>
        <w:t>0</w:t>
      </w:r>
      <w:r w:rsidR="009D5E8E" w:rsidRPr="000255CE">
        <w:rPr>
          <w:color w:val="000000" w:themeColor="text1"/>
        </w:rPr>
        <w:t xml:space="preserve">% </w:t>
      </w:r>
      <w:r w:rsidR="000255CE" w:rsidRPr="000255CE">
        <w:rPr>
          <w:color w:val="000000" w:themeColor="text1"/>
        </w:rPr>
        <w:t>fewer</w:t>
      </w:r>
      <w:r w:rsidR="009D5E8E" w:rsidRPr="000255CE">
        <w:rPr>
          <w:color w:val="000000" w:themeColor="text1"/>
        </w:rPr>
        <w:t xml:space="preserve"> tha</w:t>
      </w:r>
      <w:r w:rsidR="00EB502E" w:rsidRPr="000255CE">
        <w:rPr>
          <w:color w:val="000000" w:themeColor="text1"/>
        </w:rPr>
        <w:t>n in the same period last year</w:t>
      </w:r>
      <w:r w:rsidR="009D5E8E" w:rsidRPr="000255CE">
        <w:rPr>
          <w:color w:val="000000" w:themeColor="text1"/>
        </w:rPr>
        <w:t>; in short, we are transporting significantly fewer people and completing significantly fewer rides.</w:t>
      </w:r>
      <w:r w:rsidR="005A308E" w:rsidRPr="000255CE">
        <w:rPr>
          <w:color w:val="000000" w:themeColor="text1"/>
        </w:rPr>
        <w:t xml:space="preserve"> This is particularly striking in Medicaid service delivery, for which the reduction in rides and riders is 8</w:t>
      </w:r>
      <w:r w:rsidR="00251C2B">
        <w:rPr>
          <w:color w:val="000000" w:themeColor="text1"/>
        </w:rPr>
        <w:t>3</w:t>
      </w:r>
      <w:r w:rsidR="005A308E" w:rsidRPr="000255CE">
        <w:rPr>
          <w:color w:val="000000" w:themeColor="text1"/>
        </w:rPr>
        <w:t xml:space="preserve">% and </w:t>
      </w:r>
      <w:r w:rsidR="00251C2B">
        <w:rPr>
          <w:color w:val="000000" w:themeColor="text1"/>
        </w:rPr>
        <w:t>50</w:t>
      </w:r>
      <w:r w:rsidR="005A308E" w:rsidRPr="000255CE">
        <w:rPr>
          <w:color w:val="000000" w:themeColor="text1"/>
        </w:rPr>
        <w:t>%, respectively.</w:t>
      </w:r>
      <w:r w:rsidR="000C06AE" w:rsidRPr="000255CE">
        <w:rPr>
          <w:color w:val="000000" w:themeColor="text1"/>
        </w:rPr>
        <w:t xml:space="preserve">  </w:t>
      </w:r>
      <w:r w:rsidR="000255CE" w:rsidRPr="000255CE">
        <w:rPr>
          <w:color w:val="000000" w:themeColor="text1"/>
        </w:rPr>
        <w:t>Our year-over-year l</w:t>
      </w:r>
      <w:r w:rsidR="000C06AE" w:rsidRPr="000255CE">
        <w:rPr>
          <w:color w:val="000000" w:themeColor="text1"/>
        </w:rPr>
        <w:t>osses in Medicaid revenue</w:t>
      </w:r>
      <w:r w:rsidR="000255CE" w:rsidRPr="000255CE">
        <w:rPr>
          <w:color w:val="000000" w:themeColor="text1"/>
        </w:rPr>
        <w:t xml:space="preserve"> for the same period</w:t>
      </w:r>
      <w:r w:rsidR="000C06AE" w:rsidRPr="000255CE">
        <w:rPr>
          <w:color w:val="000000" w:themeColor="text1"/>
        </w:rPr>
        <w:t xml:space="preserve"> are currently estimated at </w:t>
      </w:r>
      <w:r w:rsidR="000255CE" w:rsidRPr="000255CE">
        <w:rPr>
          <w:color w:val="000000" w:themeColor="text1"/>
        </w:rPr>
        <w:t>$2</w:t>
      </w:r>
      <w:r w:rsidR="00251C2B">
        <w:rPr>
          <w:color w:val="000000" w:themeColor="text1"/>
        </w:rPr>
        <w:t>8,885</w:t>
      </w:r>
      <w:r w:rsidR="000255CE" w:rsidRPr="000255CE">
        <w:rPr>
          <w:color w:val="000000" w:themeColor="text1"/>
        </w:rPr>
        <w:t xml:space="preserve"> (</w:t>
      </w:r>
      <w:r w:rsidR="001D67DA" w:rsidRPr="000255CE">
        <w:rPr>
          <w:color w:val="000000" w:themeColor="text1"/>
        </w:rPr>
        <w:t>that is, the sum of our variances for the same time frame last year). We had some good weeks in the first quarter that help offset that a bit, but we’re still about $</w:t>
      </w:r>
      <w:r w:rsidR="000255CE" w:rsidRPr="000255CE">
        <w:rPr>
          <w:color w:val="000000" w:themeColor="text1"/>
        </w:rPr>
        <w:t>2</w:t>
      </w:r>
      <w:r w:rsidR="001D67DA" w:rsidRPr="000255CE">
        <w:rPr>
          <w:color w:val="000000" w:themeColor="text1"/>
        </w:rPr>
        <w:t>6K behind our earned income from Medicaid at this time last year.</w:t>
      </w:r>
      <w:r w:rsidR="001D67DA" w:rsidRPr="001D67DA">
        <w:rPr>
          <w:color w:val="000000" w:themeColor="text1"/>
        </w:rPr>
        <w:t xml:space="preserve">  </w:t>
      </w:r>
    </w:p>
    <w:p w:rsidR="000C06AE" w:rsidRDefault="001D67DA" w:rsidP="00C558C2">
      <w:pPr>
        <w:spacing w:before="120"/>
        <w:ind w:left="576" w:right="288"/>
        <w:jc w:val="both"/>
        <w:rPr>
          <w:b/>
          <w:color w:val="000000" w:themeColor="text1"/>
        </w:rPr>
      </w:pPr>
      <w:r>
        <w:rPr>
          <w:color w:val="000000" w:themeColor="text1"/>
        </w:rPr>
        <w:t>O</w:t>
      </w:r>
      <w:r w:rsidR="009D5E8E" w:rsidRPr="009D5E8E">
        <w:rPr>
          <w:color w:val="000000" w:themeColor="text1"/>
        </w:rPr>
        <w:t>n the expense side, our vehicle fuel costs, drivers</w:t>
      </w:r>
      <w:r w:rsidR="00251C2B">
        <w:rPr>
          <w:color w:val="000000" w:themeColor="text1"/>
        </w:rPr>
        <w:t>’</w:t>
      </w:r>
      <w:r w:rsidR="009D5E8E" w:rsidRPr="009D5E8E">
        <w:rPr>
          <w:color w:val="000000" w:themeColor="text1"/>
        </w:rPr>
        <w:t xml:space="preserve"> wages, and program management staff wages are </w:t>
      </w:r>
      <w:r>
        <w:rPr>
          <w:color w:val="000000" w:themeColor="text1"/>
        </w:rPr>
        <w:t xml:space="preserve">somewhat </w:t>
      </w:r>
      <w:r w:rsidR="009D5E8E" w:rsidRPr="009D5E8E">
        <w:rPr>
          <w:color w:val="000000" w:themeColor="text1"/>
        </w:rPr>
        <w:t>reduced</w:t>
      </w:r>
      <w:r w:rsidR="00251C2B">
        <w:rPr>
          <w:color w:val="000000" w:themeColor="text1"/>
        </w:rPr>
        <w:t>—about $14K less than at this time last year--</w:t>
      </w:r>
      <w:r>
        <w:rPr>
          <w:color w:val="000000" w:themeColor="text1"/>
        </w:rPr>
        <w:t>which helps to offset the revenue loss</w:t>
      </w:r>
      <w:r w:rsidR="009D5E8E" w:rsidRPr="009D5E8E">
        <w:rPr>
          <w:color w:val="000000" w:themeColor="text1"/>
        </w:rPr>
        <w:t xml:space="preserve">. </w:t>
      </w:r>
      <w:r w:rsidR="000C06AE">
        <w:rPr>
          <w:color w:val="000000" w:themeColor="text1"/>
        </w:rPr>
        <w:t xml:space="preserve"> A $15,000 grant from the Berkshire-</w:t>
      </w:r>
      <w:r w:rsidR="000C06AE" w:rsidRPr="00EB502E">
        <w:rPr>
          <w:color w:val="000000" w:themeColor="text1"/>
        </w:rPr>
        <w:t xml:space="preserve">Taconic </w:t>
      </w:r>
      <w:r w:rsidR="000C06AE">
        <w:rPr>
          <w:color w:val="000000" w:themeColor="text1"/>
        </w:rPr>
        <w:t xml:space="preserve">Foundation </w:t>
      </w:r>
      <w:r w:rsidR="00251C2B">
        <w:rPr>
          <w:color w:val="000000" w:themeColor="text1"/>
        </w:rPr>
        <w:t>that</w:t>
      </w:r>
      <w:r w:rsidR="000C06AE">
        <w:rPr>
          <w:color w:val="000000" w:themeColor="text1"/>
        </w:rPr>
        <w:t xml:space="preserve"> we received nearly a month ago will also be helpful.</w:t>
      </w:r>
    </w:p>
    <w:p w:rsidR="005E7DDC" w:rsidRDefault="005E7DDC" w:rsidP="00C558C2">
      <w:pPr>
        <w:ind w:left="576" w:right="288"/>
        <w:jc w:val="both"/>
        <w:rPr>
          <w:b/>
          <w:color w:val="000000" w:themeColor="text1"/>
        </w:rPr>
      </w:pPr>
    </w:p>
    <w:p w:rsidR="009D5E8E" w:rsidRPr="009D5E8E" w:rsidRDefault="000C06AE" w:rsidP="00251C2B">
      <w:pPr>
        <w:spacing w:line="259" w:lineRule="auto"/>
        <w:ind w:left="576" w:right="288"/>
        <w:rPr>
          <w:b/>
          <w:color w:val="000000" w:themeColor="text1"/>
        </w:rPr>
      </w:pPr>
      <w:r>
        <w:rPr>
          <w:b/>
          <w:color w:val="000000" w:themeColor="text1"/>
        </w:rPr>
        <w:t xml:space="preserve">RHN </w:t>
      </w:r>
    </w:p>
    <w:p w:rsidR="001D67DA" w:rsidRPr="001D67DA" w:rsidRDefault="000C06AE" w:rsidP="00C558C2">
      <w:pPr>
        <w:ind w:left="576" w:right="288"/>
        <w:jc w:val="both"/>
        <w:rPr>
          <w:color w:val="000000" w:themeColor="text1"/>
        </w:rPr>
      </w:pPr>
      <w:r>
        <w:rPr>
          <w:color w:val="000000" w:themeColor="text1"/>
        </w:rPr>
        <w:t>By way of reminder, t</w:t>
      </w:r>
      <w:r w:rsidR="009D5E8E" w:rsidRPr="009D5E8E">
        <w:rPr>
          <w:color w:val="000000" w:themeColor="text1"/>
        </w:rPr>
        <w:t>he State Budget passed on April 3</w:t>
      </w:r>
      <w:r w:rsidR="009D5E8E" w:rsidRPr="009D5E8E">
        <w:rPr>
          <w:color w:val="000000" w:themeColor="text1"/>
          <w:vertAlign w:val="superscript"/>
        </w:rPr>
        <w:t>rd</w:t>
      </w:r>
      <w:r w:rsidR="009D5E8E" w:rsidRPr="009D5E8E">
        <w:rPr>
          <w:color w:val="000000" w:themeColor="text1"/>
        </w:rPr>
        <w:t xml:space="preserve"> </w:t>
      </w:r>
      <w:r w:rsidR="001D67DA" w:rsidRPr="001D67DA">
        <w:rPr>
          <w:color w:val="000000" w:themeColor="text1"/>
        </w:rPr>
        <w:t>pooled two rural health programs together</w:t>
      </w:r>
      <w:r w:rsidR="001D67DA">
        <w:rPr>
          <w:color w:val="000000" w:themeColor="text1"/>
        </w:rPr>
        <w:t xml:space="preserve">, the </w:t>
      </w:r>
      <w:r w:rsidR="001D67DA" w:rsidRPr="001D67DA">
        <w:rPr>
          <w:color w:val="000000" w:themeColor="text1"/>
        </w:rPr>
        <w:t>Rural Health Network (RHN) program and the Rural Health (Hospital) Access (RHA) program. Total allocation is $9,410,000</w:t>
      </w:r>
      <w:r w:rsidR="001B0E62">
        <w:rPr>
          <w:color w:val="000000" w:themeColor="text1"/>
        </w:rPr>
        <w:t xml:space="preserve">, which represents a </w:t>
      </w:r>
      <w:r w:rsidR="001D67DA" w:rsidRPr="001D67DA">
        <w:rPr>
          <w:color w:val="000000" w:themeColor="text1"/>
        </w:rPr>
        <w:t xml:space="preserve">31% cut from the combined allocations for these two programs from the 2019-20 budget. </w:t>
      </w:r>
      <w:r w:rsidR="001B0E62">
        <w:rPr>
          <w:color w:val="000000" w:themeColor="text1"/>
        </w:rPr>
        <w:t xml:space="preserve">Meanwhile, there was a </w:t>
      </w:r>
      <w:r w:rsidR="001D67DA" w:rsidRPr="001D67DA">
        <w:rPr>
          <w:color w:val="000000" w:themeColor="text1"/>
        </w:rPr>
        <w:t xml:space="preserve">second allocation of $1,100,000 </w:t>
      </w:r>
      <w:r w:rsidR="001B0E62">
        <w:rPr>
          <w:color w:val="000000" w:themeColor="text1"/>
        </w:rPr>
        <w:t xml:space="preserve">through a </w:t>
      </w:r>
      <w:r w:rsidR="001D67DA" w:rsidRPr="001D67DA">
        <w:rPr>
          <w:color w:val="000000" w:themeColor="text1"/>
        </w:rPr>
        <w:t xml:space="preserve">Senate Appropriation which will also be split between RHN and RHA programs.  </w:t>
      </w:r>
      <w:r w:rsidR="00FA5F2F">
        <w:rPr>
          <w:color w:val="000000" w:themeColor="text1"/>
        </w:rPr>
        <w:t xml:space="preserve">We </w:t>
      </w:r>
      <w:r>
        <w:rPr>
          <w:color w:val="000000" w:themeColor="text1"/>
        </w:rPr>
        <w:t>continue to await g</w:t>
      </w:r>
      <w:r w:rsidR="00FA5F2F">
        <w:rPr>
          <w:color w:val="000000" w:themeColor="text1"/>
        </w:rPr>
        <w:t xml:space="preserve">uidance from the Office of Rural Health about how we must modify our current program year budget </w:t>
      </w:r>
      <w:r w:rsidR="005A308E">
        <w:rPr>
          <w:color w:val="000000" w:themeColor="text1"/>
        </w:rPr>
        <w:t xml:space="preserve">(that is, Jan-Dec 2020) </w:t>
      </w:r>
      <w:r w:rsidR="00FA5F2F">
        <w:rPr>
          <w:color w:val="000000" w:themeColor="text1"/>
        </w:rPr>
        <w:t xml:space="preserve">to reflect this cut. </w:t>
      </w:r>
    </w:p>
    <w:p w:rsidR="009D5E8E" w:rsidRDefault="009D5E8E" w:rsidP="00C558C2">
      <w:pPr>
        <w:ind w:left="576" w:right="288"/>
        <w:jc w:val="both"/>
        <w:rPr>
          <w:color w:val="000000" w:themeColor="text1"/>
        </w:rPr>
      </w:pPr>
    </w:p>
    <w:p w:rsidR="000C06AE" w:rsidRDefault="000C06AE" w:rsidP="00C558C2">
      <w:pPr>
        <w:ind w:left="576" w:right="288"/>
        <w:jc w:val="both"/>
        <w:rPr>
          <w:b/>
          <w:color w:val="000000" w:themeColor="text1"/>
        </w:rPr>
      </w:pPr>
      <w:r w:rsidRPr="000C06AE">
        <w:rPr>
          <w:b/>
          <w:color w:val="000000" w:themeColor="text1"/>
        </w:rPr>
        <w:t>Navigator and Tobacco</w:t>
      </w:r>
    </w:p>
    <w:p w:rsidR="005E7DDC" w:rsidRDefault="005E7DDC" w:rsidP="00C558C2">
      <w:pPr>
        <w:ind w:left="576" w:right="288"/>
        <w:jc w:val="both"/>
        <w:rPr>
          <w:color w:val="000000" w:themeColor="text1"/>
        </w:rPr>
      </w:pPr>
      <w:r w:rsidRPr="005E7DDC">
        <w:rPr>
          <w:color w:val="000000" w:themeColor="text1"/>
        </w:rPr>
        <w:t xml:space="preserve">It has also been suggested that there will be additional cuts to our other state contracts, but no detail about that has been shared. </w:t>
      </w:r>
      <w:r>
        <w:rPr>
          <w:color w:val="000000" w:themeColor="text1"/>
        </w:rPr>
        <w:t>In the interim, we are limiting certain discretionary expenses</w:t>
      </w:r>
      <w:r w:rsidR="00251C2B">
        <w:rPr>
          <w:color w:val="000000" w:themeColor="text1"/>
        </w:rPr>
        <w:t xml:space="preserve"> such as contracting and advertising</w:t>
      </w:r>
      <w:r>
        <w:rPr>
          <w:color w:val="000000" w:themeColor="text1"/>
        </w:rPr>
        <w:t xml:space="preserve">. </w:t>
      </w:r>
    </w:p>
    <w:p w:rsidR="005E7DDC" w:rsidRDefault="005E7DDC" w:rsidP="00C558C2">
      <w:pPr>
        <w:ind w:left="576" w:right="288"/>
        <w:jc w:val="both"/>
        <w:rPr>
          <w:color w:val="000000" w:themeColor="text1"/>
        </w:rPr>
      </w:pPr>
    </w:p>
    <w:p w:rsidR="005E7DDC" w:rsidRPr="005E7DDC" w:rsidRDefault="005E7DDC" w:rsidP="00C558C2">
      <w:pPr>
        <w:ind w:left="576" w:right="288"/>
        <w:jc w:val="both"/>
        <w:rPr>
          <w:b/>
          <w:color w:val="000000" w:themeColor="text1"/>
        </w:rPr>
      </w:pPr>
      <w:r w:rsidRPr="005E7DDC">
        <w:rPr>
          <w:b/>
          <w:color w:val="000000" w:themeColor="text1"/>
        </w:rPr>
        <w:t>NYConnects</w:t>
      </w:r>
    </w:p>
    <w:p w:rsidR="005E7DDC" w:rsidRPr="005E7DDC" w:rsidRDefault="005E7DDC" w:rsidP="00C558C2">
      <w:pPr>
        <w:ind w:left="576" w:right="288"/>
        <w:jc w:val="both"/>
        <w:rPr>
          <w:color w:val="000000" w:themeColor="text1"/>
        </w:rPr>
      </w:pPr>
      <w:r>
        <w:rPr>
          <w:color w:val="000000" w:themeColor="text1"/>
        </w:rPr>
        <w:t>We have just been invited by the Columbia County Office for the Aging to submit a subcontractor budget for the next contract period for NYConnects of 4-1-2020 to 3-31-21.</w:t>
      </w:r>
    </w:p>
    <w:p w:rsidR="009D5E8E" w:rsidRPr="005E7DDC" w:rsidRDefault="009D5E8E" w:rsidP="00C558C2">
      <w:pPr>
        <w:ind w:left="288" w:right="288"/>
        <w:jc w:val="both"/>
        <w:rPr>
          <w:color w:val="000000" w:themeColor="text1"/>
          <w:sz w:val="28"/>
        </w:rPr>
      </w:pPr>
    </w:p>
    <w:p w:rsidR="005E7DDC" w:rsidRDefault="005E7DDC" w:rsidP="00251C2B">
      <w:pPr>
        <w:spacing w:line="259" w:lineRule="auto"/>
        <w:ind w:left="576" w:right="288"/>
        <w:rPr>
          <w:b/>
          <w:color w:val="000000" w:themeColor="text1"/>
        </w:rPr>
      </w:pPr>
      <w:r w:rsidRPr="005E7DDC">
        <w:rPr>
          <w:b/>
          <w:color w:val="000000" w:themeColor="text1"/>
        </w:rPr>
        <w:t>Helpers for Health</w:t>
      </w:r>
    </w:p>
    <w:p w:rsidR="005E7DDC" w:rsidRDefault="005E7DDC" w:rsidP="00C558C2">
      <w:pPr>
        <w:spacing w:after="160" w:line="259" w:lineRule="auto"/>
        <w:ind w:left="576" w:right="288"/>
        <w:jc w:val="both"/>
        <w:rPr>
          <w:color w:val="000000" w:themeColor="text1"/>
        </w:rPr>
      </w:pPr>
      <w:r w:rsidRPr="005E7DDC">
        <w:rPr>
          <w:color w:val="000000" w:themeColor="text1"/>
        </w:rPr>
        <w:t xml:space="preserve">The Helpers for Health Project is in large part suspended, since much of the activity focused on outreach and public education.  Additionally, as this project is funded from the General Operating Support grant provided by the Dyson Foundation, we have made an effort to reduce project costs in order to preserve those discretionary dollars for other purposes should that become needed. </w:t>
      </w:r>
    </w:p>
    <w:p w:rsidR="005E7DDC" w:rsidRPr="005E7DDC" w:rsidRDefault="005E7DDC" w:rsidP="005E7DDC">
      <w:pPr>
        <w:spacing w:after="120"/>
        <w:jc w:val="both"/>
        <w:rPr>
          <w:b/>
          <w:color w:val="000000" w:themeColor="text1"/>
          <w:sz w:val="28"/>
        </w:rPr>
      </w:pPr>
      <w:r w:rsidRPr="005E7DDC">
        <w:rPr>
          <w:b/>
          <w:color w:val="000000" w:themeColor="text1"/>
          <w:sz w:val="28"/>
        </w:rPr>
        <w:lastRenderedPageBreak/>
        <w:t xml:space="preserve">Planning for a Return to the Workplace  </w:t>
      </w:r>
    </w:p>
    <w:p w:rsidR="005E7DDC" w:rsidRPr="009D5E8E" w:rsidRDefault="005E7DDC" w:rsidP="00C558C2">
      <w:pPr>
        <w:ind w:left="288" w:right="288"/>
        <w:jc w:val="both"/>
        <w:rPr>
          <w:color w:val="000000" w:themeColor="text1"/>
        </w:rPr>
      </w:pPr>
      <w:r>
        <w:rPr>
          <w:color w:val="000000" w:themeColor="text1"/>
        </w:rPr>
        <w:t xml:space="preserve">The effort to plan for a return to the workplace has been extensive.  </w:t>
      </w:r>
      <w:r>
        <w:rPr>
          <w:color w:val="000000" w:themeColor="text1"/>
        </w:rPr>
        <w:t>Lisa Thomas</w:t>
      </w:r>
      <w:r>
        <w:rPr>
          <w:color w:val="000000" w:themeColor="text1"/>
        </w:rPr>
        <w:t xml:space="preserve">, </w:t>
      </w:r>
      <w:r>
        <w:rPr>
          <w:color w:val="000000" w:themeColor="text1"/>
        </w:rPr>
        <w:t xml:space="preserve">Ashling Kelly </w:t>
      </w:r>
      <w:r>
        <w:rPr>
          <w:color w:val="000000" w:themeColor="text1"/>
        </w:rPr>
        <w:t>and I have all</w:t>
      </w:r>
      <w:r>
        <w:rPr>
          <w:color w:val="000000" w:themeColor="text1"/>
        </w:rPr>
        <w:t xml:space="preserve"> </w:t>
      </w:r>
      <w:r>
        <w:rPr>
          <w:color w:val="000000" w:themeColor="text1"/>
        </w:rPr>
        <w:t>viewed</w:t>
      </w:r>
      <w:r w:rsidRPr="009D5E8E">
        <w:rPr>
          <w:color w:val="000000" w:themeColor="text1"/>
        </w:rPr>
        <w:t xml:space="preserve"> countless webinars, from a variety of sources, to inform </w:t>
      </w:r>
      <w:r>
        <w:rPr>
          <w:color w:val="000000" w:themeColor="text1"/>
        </w:rPr>
        <w:t>the development of our written safety plan (currently in its 10</w:t>
      </w:r>
      <w:r w:rsidRPr="005E7DDC">
        <w:rPr>
          <w:color w:val="000000" w:themeColor="text1"/>
          <w:vertAlign w:val="superscript"/>
        </w:rPr>
        <w:t>th</w:t>
      </w:r>
      <w:r>
        <w:rPr>
          <w:color w:val="000000" w:themeColor="text1"/>
        </w:rPr>
        <w:t xml:space="preserve"> iteration and close to complete), signage, logs, and forms.  We </w:t>
      </w:r>
      <w:r w:rsidR="00C558C2">
        <w:rPr>
          <w:color w:val="000000" w:themeColor="text1"/>
        </w:rPr>
        <w:t xml:space="preserve">alerted staff that they will be asked to comply with </w:t>
      </w:r>
      <w:r>
        <w:rPr>
          <w:color w:val="000000" w:themeColor="text1"/>
        </w:rPr>
        <w:t xml:space="preserve">daily mandatory health screenings </w:t>
      </w:r>
      <w:r w:rsidR="00C558C2">
        <w:rPr>
          <w:color w:val="000000" w:themeColor="text1"/>
        </w:rPr>
        <w:t>and also surveyed</w:t>
      </w:r>
      <w:r>
        <w:rPr>
          <w:color w:val="000000" w:themeColor="text1"/>
        </w:rPr>
        <w:t xml:space="preserve"> them to determine if any employees are unable to return to the workplace</w:t>
      </w:r>
      <w:r w:rsidR="00C558C2">
        <w:rPr>
          <w:color w:val="000000" w:themeColor="text1"/>
        </w:rPr>
        <w:t xml:space="preserve">; as a result, we </w:t>
      </w:r>
      <w:r>
        <w:rPr>
          <w:color w:val="000000" w:themeColor="text1"/>
        </w:rPr>
        <w:t xml:space="preserve">are currently managing </w:t>
      </w:r>
      <w:r w:rsidR="00C558C2">
        <w:rPr>
          <w:color w:val="000000" w:themeColor="text1"/>
        </w:rPr>
        <w:t xml:space="preserve">a couple of </w:t>
      </w:r>
      <w:r>
        <w:rPr>
          <w:color w:val="000000" w:themeColor="text1"/>
        </w:rPr>
        <w:t xml:space="preserve">accommodation requests.  </w:t>
      </w:r>
      <w:r w:rsidR="00C558C2">
        <w:rPr>
          <w:color w:val="000000" w:themeColor="text1"/>
        </w:rPr>
        <w:t>At this time, we anticipate bringing members of the management team into the office starting on Monday, June 8</w:t>
      </w:r>
      <w:r w:rsidR="00C558C2" w:rsidRPr="00C558C2">
        <w:rPr>
          <w:color w:val="000000" w:themeColor="text1"/>
          <w:vertAlign w:val="superscript"/>
        </w:rPr>
        <w:t>th</w:t>
      </w:r>
      <w:r w:rsidR="00C558C2">
        <w:rPr>
          <w:color w:val="000000" w:themeColor="text1"/>
        </w:rPr>
        <w:t xml:space="preserve">, </w:t>
      </w:r>
      <w:r w:rsidR="00AA618D">
        <w:rPr>
          <w:color w:val="000000" w:themeColor="text1"/>
        </w:rPr>
        <w:t>to “test” our procedures and also make ready the space, and the</w:t>
      </w:r>
      <w:r w:rsidR="00251C2B">
        <w:rPr>
          <w:color w:val="000000" w:themeColor="text1"/>
        </w:rPr>
        <w:t>reafter</w:t>
      </w:r>
      <w:r w:rsidR="00AA618D">
        <w:rPr>
          <w:color w:val="000000" w:themeColor="text1"/>
        </w:rPr>
        <w:t xml:space="preserve"> brin</w:t>
      </w:r>
      <w:r w:rsidR="00251C2B">
        <w:rPr>
          <w:color w:val="000000" w:themeColor="text1"/>
        </w:rPr>
        <w:t>g</w:t>
      </w:r>
      <w:r w:rsidR="00AA618D">
        <w:rPr>
          <w:color w:val="000000" w:themeColor="text1"/>
        </w:rPr>
        <w:t>ing back the</w:t>
      </w:r>
      <w:r w:rsidR="00C558C2">
        <w:rPr>
          <w:color w:val="000000" w:themeColor="text1"/>
        </w:rPr>
        <w:t xml:space="preserve"> remaining staff the following week.  </w:t>
      </w:r>
      <w:r w:rsidR="00AA618D">
        <w:rPr>
          <w:color w:val="000000" w:themeColor="text1"/>
        </w:rPr>
        <w:t>It is also expected that t</w:t>
      </w:r>
      <w:r w:rsidR="00C558C2">
        <w:rPr>
          <w:color w:val="000000" w:themeColor="text1"/>
        </w:rPr>
        <w:t xml:space="preserve">he building will be open to the public at that time, so we have advised staff that they should anticipate some amount of in-person service delivery, though we expect this to be </w:t>
      </w:r>
      <w:r w:rsidR="00AA618D">
        <w:rPr>
          <w:color w:val="000000" w:themeColor="text1"/>
        </w:rPr>
        <w:t>minimal</w:t>
      </w:r>
      <w:r w:rsidR="00C558C2">
        <w:rPr>
          <w:color w:val="000000" w:themeColor="text1"/>
        </w:rPr>
        <w:t xml:space="preserve"> for some time to come. </w:t>
      </w:r>
    </w:p>
    <w:p w:rsidR="0049661E" w:rsidRDefault="0049661E" w:rsidP="00C558C2">
      <w:pPr>
        <w:spacing w:before="60" w:after="60"/>
        <w:ind w:right="288"/>
        <w:jc w:val="both"/>
        <w:rPr>
          <w:b/>
          <w:color w:val="000000" w:themeColor="text1"/>
        </w:rPr>
      </w:pPr>
    </w:p>
    <w:p w:rsidR="000255CE" w:rsidRPr="00AA618D" w:rsidRDefault="000255CE" w:rsidP="00C558C2">
      <w:pPr>
        <w:spacing w:before="60" w:after="60"/>
        <w:ind w:right="288"/>
        <w:jc w:val="both"/>
        <w:rPr>
          <w:b/>
          <w:color w:val="000000" w:themeColor="text1"/>
          <w:sz w:val="28"/>
        </w:rPr>
      </w:pPr>
      <w:r w:rsidRPr="00AA618D">
        <w:rPr>
          <w:b/>
          <w:color w:val="000000" w:themeColor="text1"/>
          <w:sz w:val="28"/>
        </w:rPr>
        <w:t>Paycheck Protection Program</w:t>
      </w:r>
    </w:p>
    <w:p w:rsidR="000255CE" w:rsidRDefault="000255CE" w:rsidP="00AA618D">
      <w:pPr>
        <w:spacing w:before="60" w:after="60"/>
        <w:ind w:left="288" w:right="288"/>
        <w:jc w:val="both"/>
        <w:rPr>
          <w:color w:val="000000" w:themeColor="text1"/>
        </w:rPr>
      </w:pPr>
      <w:r w:rsidRPr="00AA618D">
        <w:rPr>
          <w:color w:val="000000" w:themeColor="text1"/>
        </w:rPr>
        <w:t>We applied for the Paycheck Protection Program on Wednesday, May 6</w:t>
      </w:r>
      <w:r w:rsidRPr="00AA618D">
        <w:rPr>
          <w:color w:val="000000" w:themeColor="text1"/>
          <w:vertAlign w:val="superscript"/>
        </w:rPr>
        <w:t>th</w:t>
      </w:r>
      <w:r w:rsidRPr="00AA618D">
        <w:rPr>
          <w:color w:val="000000" w:themeColor="text1"/>
        </w:rPr>
        <w:t xml:space="preserve"> following approval from the Executive Committee, and received funds in the amount of $197,400 on Friday, May 8</w:t>
      </w:r>
      <w:r w:rsidRPr="00AA618D">
        <w:rPr>
          <w:color w:val="000000" w:themeColor="text1"/>
          <w:vertAlign w:val="superscript"/>
        </w:rPr>
        <w:t>th</w:t>
      </w:r>
      <w:r w:rsidRPr="00AA618D">
        <w:rPr>
          <w:color w:val="000000" w:themeColor="text1"/>
        </w:rPr>
        <w:t xml:space="preserve">.  As I advised the Committee in May, I do not anticipate that, under current program terms, 100% of the loan amount will be forgiven, and choose, instead, to think of it as a very low interest loan.  However, legislation currently being considered by Congress may significantly increase the loan period from 8 weeks to 24 weeks, as well as reduce the percentage of the loan that must be expensed on wages in order for any part of the loan to be forgiven.  We will watch what happens with the legislation as well as take in any guidance we can regarding the forgiveness application.  In the meantime, we are expensing the funds on payroll and some payroll expenses, such as health insurance contributions, as well as </w:t>
      </w:r>
      <w:r w:rsidR="00251C2B">
        <w:rPr>
          <w:color w:val="000000" w:themeColor="text1"/>
        </w:rPr>
        <w:t xml:space="preserve">utilities such as </w:t>
      </w:r>
      <w:r w:rsidRPr="00AA618D">
        <w:rPr>
          <w:color w:val="000000" w:themeColor="text1"/>
        </w:rPr>
        <w:t xml:space="preserve">phone and internet charges. </w:t>
      </w:r>
    </w:p>
    <w:p w:rsidR="00AA618D" w:rsidRPr="00AA618D" w:rsidRDefault="00AA618D" w:rsidP="00AA618D">
      <w:pPr>
        <w:spacing w:before="60" w:after="60"/>
        <w:ind w:right="288"/>
        <w:jc w:val="both"/>
        <w:rPr>
          <w:b/>
          <w:color w:val="000000" w:themeColor="text1"/>
          <w:sz w:val="28"/>
        </w:rPr>
      </w:pPr>
    </w:p>
    <w:p w:rsidR="00AA618D" w:rsidRPr="00AA618D" w:rsidRDefault="00AA618D" w:rsidP="00AA618D">
      <w:pPr>
        <w:spacing w:before="60" w:after="60"/>
        <w:ind w:right="288"/>
        <w:jc w:val="both"/>
        <w:rPr>
          <w:b/>
          <w:color w:val="000000" w:themeColor="text1"/>
          <w:sz w:val="28"/>
        </w:rPr>
      </w:pPr>
      <w:r w:rsidRPr="00AA618D">
        <w:rPr>
          <w:b/>
          <w:color w:val="000000" w:themeColor="text1"/>
          <w:sz w:val="28"/>
        </w:rPr>
        <w:t>Reorganiz</w:t>
      </w:r>
      <w:r>
        <w:rPr>
          <w:b/>
          <w:color w:val="000000" w:themeColor="text1"/>
          <w:sz w:val="28"/>
        </w:rPr>
        <w:t>ation of our physical office space</w:t>
      </w:r>
    </w:p>
    <w:p w:rsidR="00AA618D" w:rsidRDefault="00AA618D" w:rsidP="000E203F">
      <w:pPr>
        <w:spacing w:before="60" w:after="60"/>
        <w:ind w:left="288" w:right="288"/>
        <w:jc w:val="both"/>
        <w:rPr>
          <w:color w:val="000000" w:themeColor="text1"/>
        </w:rPr>
      </w:pPr>
      <w:r>
        <w:rPr>
          <w:color w:val="000000" w:themeColor="text1"/>
        </w:rPr>
        <w:t>As you may know, we have lost some office space to the District Attorney’s Office. Consequently, we have had to move the Transportation Program to a new office on the second floor of the County Building located at 610 State Street.  The new space is beautiful, and in many respects, a serious upgrade for the program and its staff.  Other moves within the suite of offices at 325 are currently being made.  The hope is to affect all these changes prior to June 15</w:t>
      </w:r>
      <w:r w:rsidRPr="00AA618D">
        <w:rPr>
          <w:color w:val="000000" w:themeColor="text1"/>
          <w:vertAlign w:val="superscript"/>
        </w:rPr>
        <w:t>th</w:t>
      </w:r>
      <w:r w:rsidR="00A152A5">
        <w:rPr>
          <w:color w:val="000000" w:themeColor="text1"/>
        </w:rPr>
        <w:t>, so there will</w:t>
      </w:r>
      <w:r w:rsidR="00251C2B">
        <w:rPr>
          <w:color w:val="000000" w:themeColor="text1"/>
        </w:rPr>
        <w:t xml:space="preserve"> be little to no disruption to program staff after they return</w:t>
      </w:r>
      <w:r w:rsidR="00A152A5">
        <w:rPr>
          <w:color w:val="000000" w:themeColor="text1"/>
        </w:rPr>
        <w:t xml:space="preserve">. </w:t>
      </w:r>
      <w:r>
        <w:rPr>
          <w:color w:val="000000" w:themeColor="text1"/>
        </w:rPr>
        <w:t xml:space="preserve"> </w:t>
      </w:r>
    </w:p>
    <w:p w:rsidR="000E203F" w:rsidRDefault="000E203F" w:rsidP="000E203F">
      <w:pPr>
        <w:spacing w:before="60" w:after="60"/>
        <w:ind w:left="288" w:right="288"/>
        <w:jc w:val="both"/>
        <w:rPr>
          <w:color w:val="000000" w:themeColor="text1"/>
        </w:rPr>
      </w:pPr>
    </w:p>
    <w:p w:rsidR="00A152A5" w:rsidRDefault="000E203F" w:rsidP="00A152A5">
      <w:pPr>
        <w:spacing w:before="60" w:after="60"/>
        <w:ind w:right="288"/>
        <w:rPr>
          <w:b/>
          <w:color w:val="000000" w:themeColor="text1"/>
          <w:sz w:val="28"/>
        </w:rPr>
      </w:pPr>
      <w:r w:rsidRPr="000E203F">
        <w:rPr>
          <w:b/>
          <w:color w:val="000000" w:themeColor="text1"/>
          <w:sz w:val="28"/>
        </w:rPr>
        <w:t xml:space="preserve">Update on </w:t>
      </w:r>
      <w:r w:rsidR="00A152A5">
        <w:rPr>
          <w:b/>
          <w:color w:val="000000" w:themeColor="text1"/>
          <w:sz w:val="28"/>
        </w:rPr>
        <w:t>Strategic Plan</w:t>
      </w:r>
    </w:p>
    <w:p w:rsidR="00A152A5" w:rsidRPr="00A152A5" w:rsidRDefault="000E203F" w:rsidP="00A152A5">
      <w:pPr>
        <w:spacing w:before="60" w:after="60"/>
        <w:ind w:left="288" w:right="288"/>
        <w:rPr>
          <w:b/>
          <w:color w:val="000000" w:themeColor="text1"/>
        </w:rPr>
      </w:pPr>
      <w:r w:rsidRPr="00A152A5">
        <w:rPr>
          <w:b/>
          <w:color w:val="000000" w:themeColor="text1"/>
        </w:rPr>
        <w:t xml:space="preserve">Goal:  </w:t>
      </w:r>
      <w:r w:rsidR="00A152A5">
        <w:rPr>
          <w:b/>
          <w:color w:val="000000" w:themeColor="text1"/>
        </w:rPr>
        <w:tab/>
      </w:r>
      <w:r w:rsidRPr="00A152A5">
        <w:rPr>
          <w:b/>
          <w:color w:val="000000" w:themeColor="text1"/>
        </w:rPr>
        <w:t>Devel</w:t>
      </w:r>
      <w:r w:rsidR="00A152A5" w:rsidRPr="00A152A5">
        <w:rPr>
          <w:b/>
          <w:color w:val="000000" w:themeColor="text1"/>
        </w:rPr>
        <w:t xml:space="preserve">op and Strengthen our Workforce </w:t>
      </w:r>
    </w:p>
    <w:p w:rsidR="000E203F" w:rsidRPr="00A152A5" w:rsidRDefault="00A152A5" w:rsidP="00A152A5">
      <w:pPr>
        <w:spacing w:before="60" w:after="60"/>
        <w:ind w:left="288" w:right="288"/>
        <w:rPr>
          <w:b/>
          <w:color w:val="000000" w:themeColor="text1"/>
        </w:rPr>
      </w:pPr>
      <w:r w:rsidRPr="00A152A5">
        <w:rPr>
          <w:b/>
          <w:color w:val="000000" w:themeColor="text1"/>
        </w:rPr>
        <w:t xml:space="preserve">Strategy: </w:t>
      </w:r>
      <w:r>
        <w:rPr>
          <w:b/>
          <w:color w:val="000000" w:themeColor="text1"/>
        </w:rPr>
        <w:tab/>
      </w:r>
      <w:r w:rsidR="000E203F" w:rsidRPr="00A152A5">
        <w:rPr>
          <w:b/>
          <w:color w:val="000000" w:themeColor="text1"/>
        </w:rPr>
        <w:t xml:space="preserve">Competitive Compensation </w:t>
      </w:r>
    </w:p>
    <w:p w:rsidR="000E203F" w:rsidRDefault="00A152A5" w:rsidP="000E203F">
      <w:pPr>
        <w:spacing w:before="60" w:after="60"/>
        <w:ind w:left="288" w:right="288"/>
        <w:jc w:val="both"/>
        <w:rPr>
          <w:color w:val="000000" w:themeColor="text1"/>
        </w:rPr>
      </w:pPr>
      <w:r>
        <w:rPr>
          <w:color w:val="000000" w:themeColor="text1"/>
        </w:rPr>
        <w:t>As you may recall, we were able to commit some funds from a Rural Health Network funding stream to conduct a C</w:t>
      </w:r>
      <w:r w:rsidR="000E203F">
        <w:rPr>
          <w:color w:val="000000" w:themeColor="text1"/>
        </w:rPr>
        <w:t>ompensation Study</w:t>
      </w:r>
      <w:r>
        <w:rPr>
          <w:color w:val="000000" w:themeColor="text1"/>
        </w:rPr>
        <w:t xml:space="preserve"> in the early part of this year.  Results from that study were provided to us in late March and were </w:t>
      </w:r>
      <w:r w:rsidR="00251C2B">
        <w:rPr>
          <w:color w:val="000000" w:themeColor="text1"/>
        </w:rPr>
        <w:t xml:space="preserve">exactly the kind of information I had hoped to receive.  </w:t>
      </w:r>
      <w:r>
        <w:rPr>
          <w:color w:val="000000" w:themeColor="text1"/>
        </w:rPr>
        <w:t>While the study revealed that a majority of our staff are compensated close to or at the compensation goal</w:t>
      </w:r>
      <w:r w:rsidR="00251C2B">
        <w:rPr>
          <w:color w:val="000000" w:themeColor="text1"/>
        </w:rPr>
        <w:t xml:space="preserve"> (in itself the midpoint of a range established by </w:t>
      </w:r>
      <w:r w:rsidR="001C3BA2">
        <w:rPr>
          <w:color w:val="000000" w:themeColor="text1"/>
        </w:rPr>
        <w:t xml:space="preserve">“benchmarking” positions against </w:t>
      </w:r>
      <w:r w:rsidR="00251C2B">
        <w:rPr>
          <w:color w:val="000000" w:themeColor="text1"/>
        </w:rPr>
        <w:t>numerous compensation studies)</w:t>
      </w:r>
      <w:r>
        <w:rPr>
          <w:color w:val="000000" w:themeColor="text1"/>
        </w:rPr>
        <w:t xml:space="preserve">, the study </w:t>
      </w:r>
      <w:r w:rsidR="001C3BA2">
        <w:rPr>
          <w:color w:val="000000" w:themeColor="text1"/>
        </w:rPr>
        <w:t>did identify</w:t>
      </w:r>
      <w:r>
        <w:rPr>
          <w:color w:val="000000" w:themeColor="text1"/>
        </w:rPr>
        <w:t xml:space="preserve"> several positions that were below 80% of the target.  These were primarily, though not exclusively, drivers. Although it is obviously a difficult time to tune up wages, I nevertheless think that it is important to keep pushing toward this goal, and have outlined targets to get all staff up to </w:t>
      </w:r>
      <w:r w:rsidR="001C3BA2">
        <w:rPr>
          <w:color w:val="000000" w:themeColor="text1"/>
        </w:rPr>
        <w:t>at least</w:t>
      </w:r>
      <w:r>
        <w:rPr>
          <w:color w:val="000000" w:themeColor="text1"/>
        </w:rPr>
        <w:t xml:space="preserve"> 90% of the</w:t>
      </w:r>
      <w:r w:rsidR="001C3BA2">
        <w:rPr>
          <w:color w:val="000000" w:themeColor="text1"/>
        </w:rPr>
        <w:t>ir 2020 comp</w:t>
      </w:r>
      <w:r>
        <w:rPr>
          <w:color w:val="000000" w:themeColor="text1"/>
        </w:rPr>
        <w:t xml:space="preserve"> target </w:t>
      </w:r>
      <w:r w:rsidR="001C3BA2">
        <w:rPr>
          <w:color w:val="000000" w:themeColor="text1"/>
        </w:rPr>
        <w:t>within the year</w:t>
      </w:r>
      <w:bookmarkStart w:id="0" w:name="_GoBack"/>
      <w:bookmarkEnd w:id="0"/>
      <w:r>
        <w:rPr>
          <w:color w:val="000000" w:themeColor="text1"/>
        </w:rPr>
        <w:t>.</w:t>
      </w:r>
    </w:p>
    <w:p w:rsidR="000E203F" w:rsidRPr="00AA618D" w:rsidRDefault="000E203F" w:rsidP="000E203F">
      <w:pPr>
        <w:spacing w:before="60" w:after="60"/>
        <w:ind w:left="288" w:right="288"/>
        <w:jc w:val="both"/>
        <w:rPr>
          <w:color w:val="000000" w:themeColor="text1"/>
        </w:rPr>
      </w:pPr>
    </w:p>
    <w:sectPr w:rsidR="000E203F" w:rsidRPr="00AA618D" w:rsidSect="00C558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FD" w:rsidRDefault="00D50EFD" w:rsidP="00D50EFD">
      <w:r>
        <w:separator/>
      </w:r>
    </w:p>
  </w:endnote>
  <w:endnote w:type="continuationSeparator" w:id="0">
    <w:p w:rsidR="00D50EFD" w:rsidRDefault="00D50EFD" w:rsidP="00D5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FD" w:rsidRDefault="00D50EFD" w:rsidP="00D50EFD">
      <w:r>
        <w:separator/>
      </w:r>
    </w:p>
  </w:footnote>
  <w:footnote w:type="continuationSeparator" w:id="0">
    <w:p w:rsidR="00D50EFD" w:rsidRDefault="00D50EFD" w:rsidP="00D5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143"/>
    <w:multiLevelType w:val="hybridMultilevel"/>
    <w:tmpl w:val="DED8A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959BF"/>
    <w:multiLevelType w:val="hybridMultilevel"/>
    <w:tmpl w:val="967A5E9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33062BE6"/>
    <w:multiLevelType w:val="hybridMultilevel"/>
    <w:tmpl w:val="B4D4CF64"/>
    <w:lvl w:ilvl="0" w:tplc="75C20E90">
      <w:numFmt w:val="bullet"/>
      <w:lvlText w:val="•"/>
      <w:lvlJc w:val="left"/>
      <w:pPr>
        <w:ind w:left="1008" w:hanging="720"/>
      </w:pPr>
      <w:rPr>
        <w:rFonts w:ascii="Calibri" w:eastAsia="Calibri"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8143E84"/>
    <w:multiLevelType w:val="hybridMultilevel"/>
    <w:tmpl w:val="242AE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9E6F9D"/>
    <w:multiLevelType w:val="hybridMultilevel"/>
    <w:tmpl w:val="52A4B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1"/>
  </w:num>
  <w:num w:numId="4">
    <w:abstractNumId w:val="2"/>
  </w:num>
  <w:num w:numId="5">
    <w:abstractNumId w:val="8"/>
  </w:num>
  <w:num w:numId="6">
    <w:abstractNumId w:val="9"/>
  </w:num>
  <w:num w:numId="7">
    <w:abstractNumId w:val="0"/>
  </w:num>
  <w:num w:numId="8">
    <w:abstractNumId w:val="7"/>
  </w:num>
  <w:num w:numId="9">
    <w:abstractNumId w:val="5"/>
  </w:num>
  <w:num w:numId="10">
    <w:abstractNumId w:val="5"/>
  </w:num>
  <w:num w:numId="11">
    <w:abstractNumId w:val="4"/>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2634"/>
    <w:rsid w:val="00005995"/>
    <w:rsid w:val="00005CF4"/>
    <w:rsid w:val="00013F1B"/>
    <w:rsid w:val="000255CE"/>
    <w:rsid w:val="000314E7"/>
    <w:rsid w:val="00037CFB"/>
    <w:rsid w:val="00054043"/>
    <w:rsid w:val="00060B52"/>
    <w:rsid w:val="000623A2"/>
    <w:rsid w:val="0006347A"/>
    <w:rsid w:val="0006723F"/>
    <w:rsid w:val="000A0F37"/>
    <w:rsid w:val="000B036F"/>
    <w:rsid w:val="000B3224"/>
    <w:rsid w:val="000C06AE"/>
    <w:rsid w:val="000E1226"/>
    <w:rsid w:val="000E203F"/>
    <w:rsid w:val="000F3E11"/>
    <w:rsid w:val="00112D9C"/>
    <w:rsid w:val="00134D2D"/>
    <w:rsid w:val="00136D20"/>
    <w:rsid w:val="00145A23"/>
    <w:rsid w:val="001477E4"/>
    <w:rsid w:val="00150598"/>
    <w:rsid w:val="001601C4"/>
    <w:rsid w:val="001731A5"/>
    <w:rsid w:val="00175360"/>
    <w:rsid w:val="00185264"/>
    <w:rsid w:val="00194D09"/>
    <w:rsid w:val="00196503"/>
    <w:rsid w:val="001A40F2"/>
    <w:rsid w:val="001B0E62"/>
    <w:rsid w:val="001B38AF"/>
    <w:rsid w:val="001C3BA2"/>
    <w:rsid w:val="001C6B5D"/>
    <w:rsid w:val="001D67DA"/>
    <w:rsid w:val="001D68D0"/>
    <w:rsid w:val="001E22DC"/>
    <w:rsid w:val="001F2556"/>
    <w:rsid w:val="002027D3"/>
    <w:rsid w:val="002121DD"/>
    <w:rsid w:val="002135B6"/>
    <w:rsid w:val="00214164"/>
    <w:rsid w:val="002459AB"/>
    <w:rsid w:val="00251C2B"/>
    <w:rsid w:val="00253E60"/>
    <w:rsid w:val="00255922"/>
    <w:rsid w:val="00260826"/>
    <w:rsid w:val="00261CB8"/>
    <w:rsid w:val="00280606"/>
    <w:rsid w:val="0029068B"/>
    <w:rsid w:val="00291F14"/>
    <w:rsid w:val="00291FBA"/>
    <w:rsid w:val="002932E9"/>
    <w:rsid w:val="00293D64"/>
    <w:rsid w:val="002B0C25"/>
    <w:rsid w:val="002B140D"/>
    <w:rsid w:val="002B3D09"/>
    <w:rsid w:val="002B5779"/>
    <w:rsid w:val="002C4B0C"/>
    <w:rsid w:val="002E1AB0"/>
    <w:rsid w:val="002E79D6"/>
    <w:rsid w:val="002F38C5"/>
    <w:rsid w:val="00301B35"/>
    <w:rsid w:val="003177F7"/>
    <w:rsid w:val="0032062D"/>
    <w:rsid w:val="00321B58"/>
    <w:rsid w:val="00326E7B"/>
    <w:rsid w:val="00353845"/>
    <w:rsid w:val="0037245C"/>
    <w:rsid w:val="00382637"/>
    <w:rsid w:val="003921A3"/>
    <w:rsid w:val="00395838"/>
    <w:rsid w:val="003A300A"/>
    <w:rsid w:val="003B5ED6"/>
    <w:rsid w:val="003C242D"/>
    <w:rsid w:val="003D5F47"/>
    <w:rsid w:val="003E561F"/>
    <w:rsid w:val="003F1318"/>
    <w:rsid w:val="003F419D"/>
    <w:rsid w:val="0040200B"/>
    <w:rsid w:val="0042796F"/>
    <w:rsid w:val="004303FA"/>
    <w:rsid w:val="00432B57"/>
    <w:rsid w:val="004342C2"/>
    <w:rsid w:val="00434311"/>
    <w:rsid w:val="0043638A"/>
    <w:rsid w:val="004404CC"/>
    <w:rsid w:val="0044542C"/>
    <w:rsid w:val="00451ED5"/>
    <w:rsid w:val="00455B69"/>
    <w:rsid w:val="00484036"/>
    <w:rsid w:val="00486CA3"/>
    <w:rsid w:val="004956A9"/>
    <w:rsid w:val="0049661E"/>
    <w:rsid w:val="004A311D"/>
    <w:rsid w:val="004B0D4E"/>
    <w:rsid w:val="004B74BD"/>
    <w:rsid w:val="004D484B"/>
    <w:rsid w:val="004E1EF8"/>
    <w:rsid w:val="004F54DB"/>
    <w:rsid w:val="004F7B32"/>
    <w:rsid w:val="005012ED"/>
    <w:rsid w:val="0050777D"/>
    <w:rsid w:val="00523B9C"/>
    <w:rsid w:val="00524907"/>
    <w:rsid w:val="00525A8C"/>
    <w:rsid w:val="0052644C"/>
    <w:rsid w:val="00533D2F"/>
    <w:rsid w:val="00537485"/>
    <w:rsid w:val="00564FD5"/>
    <w:rsid w:val="00597ADD"/>
    <w:rsid w:val="00597D0B"/>
    <w:rsid w:val="005A308E"/>
    <w:rsid w:val="005B1B84"/>
    <w:rsid w:val="005C0098"/>
    <w:rsid w:val="005C09E2"/>
    <w:rsid w:val="005D284C"/>
    <w:rsid w:val="005D4137"/>
    <w:rsid w:val="005E205A"/>
    <w:rsid w:val="005E540E"/>
    <w:rsid w:val="005E5C70"/>
    <w:rsid w:val="005E7DDC"/>
    <w:rsid w:val="005F45DC"/>
    <w:rsid w:val="00600A72"/>
    <w:rsid w:val="00605780"/>
    <w:rsid w:val="00610957"/>
    <w:rsid w:val="00610F18"/>
    <w:rsid w:val="006111D3"/>
    <w:rsid w:val="006141FD"/>
    <w:rsid w:val="006179A2"/>
    <w:rsid w:val="00621BA8"/>
    <w:rsid w:val="00624002"/>
    <w:rsid w:val="00627173"/>
    <w:rsid w:val="006302D8"/>
    <w:rsid w:val="00632F05"/>
    <w:rsid w:val="006356DB"/>
    <w:rsid w:val="00644BD6"/>
    <w:rsid w:val="00645E11"/>
    <w:rsid w:val="00646406"/>
    <w:rsid w:val="006530E6"/>
    <w:rsid w:val="00655FC9"/>
    <w:rsid w:val="00676652"/>
    <w:rsid w:val="0067668F"/>
    <w:rsid w:val="00684F9B"/>
    <w:rsid w:val="0069051A"/>
    <w:rsid w:val="006A33AD"/>
    <w:rsid w:val="006A5046"/>
    <w:rsid w:val="006C1945"/>
    <w:rsid w:val="006C2CAB"/>
    <w:rsid w:val="006C3A7C"/>
    <w:rsid w:val="006C6A30"/>
    <w:rsid w:val="006D629A"/>
    <w:rsid w:val="006E0B86"/>
    <w:rsid w:val="006E5515"/>
    <w:rsid w:val="006F2BC1"/>
    <w:rsid w:val="006F518E"/>
    <w:rsid w:val="006F6B64"/>
    <w:rsid w:val="0070330D"/>
    <w:rsid w:val="00707AB6"/>
    <w:rsid w:val="00712812"/>
    <w:rsid w:val="007138C5"/>
    <w:rsid w:val="00723D6D"/>
    <w:rsid w:val="00726D02"/>
    <w:rsid w:val="007343FF"/>
    <w:rsid w:val="00741AC4"/>
    <w:rsid w:val="00750C49"/>
    <w:rsid w:val="00751739"/>
    <w:rsid w:val="00760E13"/>
    <w:rsid w:val="00761CB6"/>
    <w:rsid w:val="00764793"/>
    <w:rsid w:val="007668EB"/>
    <w:rsid w:val="00774016"/>
    <w:rsid w:val="00776020"/>
    <w:rsid w:val="00776804"/>
    <w:rsid w:val="00780307"/>
    <w:rsid w:val="00781B88"/>
    <w:rsid w:val="00784D8A"/>
    <w:rsid w:val="007871B9"/>
    <w:rsid w:val="007A16EC"/>
    <w:rsid w:val="007A7B98"/>
    <w:rsid w:val="007B6BAE"/>
    <w:rsid w:val="007D2D72"/>
    <w:rsid w:val="007E303D"/>
    <w:rsid w:val="007E6B49"/>
    <w:rsid w:val="007E775B"/>
    <w:rsid w:val="00800EA4"/>
    <w:rsid w:val="008013E9"/>
    <w:rsid w:val="00811253"/>
    <w:rsid w:val="008124E4"/>
    <w:rsid w:val="00813A5B"/>
    <w:rsid w:val="00820188"/>
    <w:rsid w:val="0083350E"/>
    <w:rsid w:val="008376DC"/>
    <w:rsid w:val="008416C3"/>
    <w:rsid w:val="00842995"/>
    <w:rsid w:val="00842B71"/>
    <w:rsid w:val="008430EB"/>
    <w:rsid w:val="008444B1"/>
    <w:rsid w:val="00853A2C"/>
    <w:rsid w:val="008639CC"/>
    <w:rsid w:val="00865197"/>
    <w:rsid w:val="00870042"/>
    <w:rsid w:val="00870380"/>
    <w:rsid w:val="00872B6B"/>
    <w:rsid w:val="008975BE"/>
    <w:rsid w:val="008C1118"/>
    <w:rsid w:val="008C1189"/>
    <w:rsid w:val="008E7EC2"/>
    <w:rsid w:val="008F3426"/>
    <w:rsid w:val="008F69FF"/>
    <w:rsid w:val="00911AD8"/>
    <w:rsid w:val="00911DE5"/>
    <w:rsid w:val="00912849"/>
    <w:rsid w:val="00914AC1"/>
    <w:rsid w:val="0091521C"/>
    <w:rsid w:val="009316B2"/>
    <w:rsid w:val="009348A0"/>
    <w:rsid w:val="0094624C"/>
    <w:rsid w:val="00975C7E"/>
    <w:rsid w:val="0098174A"/>
    <w:rsid w:val="00997B33"/>
    <w:rsid w:val="009A1607"/>
    <w:rsid w:val="009A6AAE"/>
    <w:rsid w:val="009A7F7F"/>
    <w:rsid w:val="009B375E"/>
    <w:rsid w:val="009C0804"/>
    <w:rsid w:val="009C292A"/>
    <w:rsid w:val="009C461C"/>
    <w:rsid w:val="009C67F6"/>
    <w:rsid w:val="009D49EE"/>
    <w:rsid w:val="009D5E8E"/>
    <w:rsid w:val="009D7FA6"/>
    <w:rsid w:val="009E2729"/>
    <w:rsid w:val="009F4249"/>
    <w:rsid w:val="00A05BD7"/>
    <w:rsid w:val="00A152A5"/>
    <w:rsid w:val="00A20F19"/>
    <w:rsid w:val="00A31A84"/>
    <w:rsid w:val="00A440DB"/>
    <w:rsid w:val="00A50FAF"/>
    <w:rsid w:val="00A573EE"/>
    <w:rsid w:val="00A826BD"/>
    <w:rsid w:val="00A843CC"/>
    <w:rsid w:val="00A9460C"/>
    <w:rsid w:val="00AA0065"/>
    <w:rsid w:val="00AA3A70"/>
    <w:rsid w:val="00AA618D"/>
    <w:rsid w:val="00AB4DD7"/>
    <w:rsid w:val="00AB74F1"/>
    <w:rsid w:val="00AC0E78"/>
    <w:rsid w:val="00AC4F54"/>
    <w:rsid w:val="00AD0F42"/>
    <w:rsid w:val="00AE299C"/>
    <w:rsid w:val="00AE392E"/>
    <w:rsid w:val="00B1548D"/>
    <w:rsid w:val="00B17D9F"/>
    <w:rsid w:val="00B21963"/>
    <w:rsid w:val="00B2253C"/>
    <w:rsid w:val="00B433BC"/>
    <w:rsid w:val="00B50EBA"/>
    <w:rsid w:val="00B53141"/>
    <w:rsid w:val="00B70AD7"/>
    <w:rsid w:val="00B80E14"/>
    <w:rsid w:val="00B81747"/>
    <w:rsid w:val="00B81EBA"/>
    <w:rsid w:val="00B82655"/>
    <w:rsid w:val="00BA02F0"/>
    <w:rsid w:val="00BA563A"/>
    <w:rsid w:val="00BC4D23"/>
    <w:rsid w:val="00BC6A40"/>
    <w:rsid w:val="00BD42F6"/>
    <w:rsid w:val="00BD67E8"/>
    <w:rsid w:val="00BE23F9"/>
    <w:rsid w:val="00BF7A0D"/>
    <w:rsid w:val="00C01F5B"/>
    <w:rsid w:val="00C13504"/>
    <w:rsid w:val="00C2211A"/>
    <w:rsid w:val="00C237D9"/>
    <w:rsid w:val="00C249B6"/>
    <w:rsid w:val="00C419DD"/>
    <w:rsid w:val="00C51147"/>
    <w:rsid w:val="00C53EB2"/>
    <w:rsid w:val="00C558C2"/>
    <w:rsid w:val="00C62AA0"/>
    <w:rsid w:val="00C72495"/>
    <w:rsid w:val="00C80252"/>
    <w:rsid w:val="00C81B17"/>
    <w:rsid w:val="00C84CB0"/>
    <w:rsid w:val="00C86E64"/>
    <w:rsid w:val="00C876C6"/>
    <w:rsid w:val="00C9127C"/>
    <w:rsid w:val="00C95030"/>
    <w:rsid w:val="00CA1EE6"/>
    <w:rsid w:val="00CC35FC"/>
    <w:rsid w:val="00CC52DC"/>
    <w:rsid w:val="00CE6BF9"/>
    <w:rsid w:val="00D049EE"/>
    <w:rsid w:val="00D15E62"/>
    <w:rsid w:val="00D50EFD"/>
    <w:rsid w:val="00D523D6"/>
    <w:rsid w:val="00D53094"/>
    <w:rsid w:val="00D65ED5"/>
    <w:rsid w:val="00D71898"/>
    <w:rsid w:val="00D75B6C"/>
    <w:rsid w:val="00D76CC5"/>
    <w:rsid w:val="00D83EEE"/>
    <w:rsid w:val="00D86F0F"/>
    <w:rsid w:val="00D91013"/>
    <w:rsid w:val="00DA2F14"/>
    <w:rsid w:val="00DB0E17"/>
    <w:rsid w:val="00DB6975"/>
    <w:rsid w:val="00DC1F36"/>
    <w:rsid w:val="00DC29E5"/>
    <w:rsid w:val="00DC2CF6"/>
    <w:rsid w:val="00DD330D"/>
    <w:rsid w:val="00DD7F85"/>
    <w:rsid w:val="00DE3ABD"/>
    <w:rsid w:val="00DF4B01"/>
    <w:rsid w:val="00E13F00"/>
    <w:rsid w:val="00E1777A"/>
    <w:rsid w:val="00E22FBE"/>
    <w:rsid w:val="00E360FC"/>
    <w:rsid w:val="00E426A3"/>
    <w:rsid w:val="00E45CAC"/>
    <w:rsid w:val="00E50B71"/>
    <w:rsid w:val="00E627B0"/>
    <w:rsid w:val="00E67064"/>
    <w:rsid w:val="00EA3E74"/>
    <w:rsid w:val="00EB502E"/>
    <w:rsid w:val="00EC1A79"/>
    <w:rsid w:val="00EF0480"/>
    <w:rsid w:val="00EF38A5"/>
    <w:rsid w:val="00EF7CC4"/>
    <w:rsid w:val="00F114BB"/>
    <w:rsid w:val="00F14441"/>
    <w:rsid w:val="00F432D8"/>
    <w:rsid w:val="00F43B5D"/>
    <w:rsid w:val="00F52D2C"/>
    <w:rsid w:val="00F77684"/>
    <w:rsid w:val="00F834F7"/>
    <w:rsid w:val="00FA5F2F"/>
    <w:rsid w:val="00FA7EEF"/>
    <w:rsid w:val="00FB57CC"/>
    <w:rsid w:val="00FC18F3"/>
    <w:rsid w:val="00FD0897"/>
    <w:rsid w:val="00FD139F"/>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7DB3"/>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styleId="Hyperlink">
    <w:name w:val="Hyperlink"/>
    <w:basedOn w:val="DefaultParagraphFont"/>
    <w:uiPriority w:val="99"/>
    <w:semiHidden/>
    <w:unhideWhenUsed/>
    <w:rsid w:val="00800EA4"/>
    <w:rPr>
      <w:color w:val="0000FF"/>
      <w:u w:val="single"/>
    </w:rPr>
  </w:style>
  <w:style w:type="paragraph" w:styleId="Header">
    <w:name w:val="header"/>
    <w:basedOn w:val="Normal"/>
    <w:link w:val="HeaderChar"/>
    <w:uiPriority w:val="99"/>
    <w:unhideWhenUsed/>
    <w:rsid w:val="00D50EFD"/>
    <w:pPr>
      <w:tabs>
        <w:tab w:val="center" w:pos="4680"/>
        <w:tab w:val="right" w:pos="9360"/>
      </w:tabs>
    </w:pPr>
  </w:style>
  <w:style w:type="character" w:customStyle="1" w:styleId="HeaderChar">
    <w:name w:val="Header Char"/>
    <w:basedOn w:val="DefaultParagraphFont"/>
    <w:link w:val="Header"/>
    <w:uiPriority w:val="99"/>
    <w:rsid w:val="00D50EFD"/>
    <w:rPr>
      <w:rFonts w:ascii="Times New Roman" w:hAnsi="Times New Roman" w:cs="Times New Roman"/>
      <w:sz w:val="24"/>
      <w:szCs w:val="24"/>
    </w:rPr>
  </w:style>
  <w:style w:type="paragraph" w:styleId="Footer">
    <w:name w:val="footer"/>
    <w:basedOn w:val="Normal"/>
    <w:link w:val="FooterChar"/>
    <w:uiPriority w:val="99"/>
    <w:unhideWhenUsed/>
    <w:rsid w:val="00D50EFD"/>
    <w:pPr>
      <w:tabs>
        <w:tab w:val="center" w:pos="4680"/>
        <w:tab w:val="right" w:pos="9360"/>
      </w:tabs>
    </w:pPr>
  </w:style>
  <w:style w:type="character" w:customStyle="1" w:styleId="FooterChar">
    <w:name w:val="Footer Char"/>
    <w:basedOn w:val="DefaultParagraphFont"/>
    <w:link w:val="Footer"/>
    <w:uiPriority w:val="99"/>
    <w:rsid w:val="00D50E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185">
      <w:bodyDiv w:val="1"/>
      <w:marLeft w:val="0"/>
      <w:marRight w:val="0"/>
      <w:marTop w:val="0"/>
      <w:marBottom w:val="0"/>
      <w:divBdr>
        <w:top w:val="none" w:sz="0" w:space="0" w:color="auto"/>
        <w:left w:val="none" w:sz="0" w:space="0" w:color="auto"/>
        <w:bottom w:val="none" w:sz="0" w:space="0" w:color="auto"/>
        <w:right w:val="none" w:sz="0" w:space="0" w:color="auto"/>
      </w:divBdr>
    </w:div>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364356380">
      <w:bodyDiv w:val="1"/>
      <w:marLeft w:val="0"/>
      <w:marRight w:val="0"/>
      <w:marTop w:val="0"/>
      <w:marBottom w:val="0"/>
      <w:divBdr>
        <w:top w:val="none" w:sz="0" w:space="0" w:color="auto"/>
        <w:left w:val="none" w:sz="0" w:space="0" w:color="auto"/>
        <w:bottom w:val="none" w:sz="0" w:space="0" w:color="auto"/>
        <w:right w:val="none" w:sz="0" w:space="0" w:color="auto"/>
      </w:divBdr>
    </w:div>
    <w:div w:id="1619020524">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024701092">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4</cp:revision>
  <cp:lastPrinted>2019-02-06T16:55:00Z</cp:lastPrinted>
  <dcterms:created xsi:type="dcterms:W3CDTF">2020-06-02T17:21:00Z</dcterms:created>
  <dcterms:modified xsi:type="dcterms:W3CDTF">2020-06-02T20:45:00Z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