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A512A1">
            <w:pPr>
              <w:rPr>
                <w:b/>
              </w:rPr>
            </w:pPr>
            <w:r w:rsidRPr="001E0050">
              <w:rPr>
                <w:b/>
              </w:rPr>
              <w:t xml:space="preserve">Date:    </w:t>
            </w:r>
            <w:r w:rsidR="008B76AC">
              <w:rPr>
                <w:b/>
              </w:rPr>
              <w:t>November 21</w:t>
            </w:r>
            <w:r w:rsidR="009C4F61">
              <w:rPr>
                <w:b/>
              </w:rPr>
              <w:t>, 2017</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C27C64">
              <w:rPr>
                <w:b/>
              </w:rPr>
              <w:t xml:space="preserve">Robin Andrews, </w:t>
            </w:r>
            <w:r w:rsidR="008B76AC">
              <w:rPr>
                <w:b/>
              </w:rPr>
              <w:t>Jim Campion, PJ Keeler</w:t>
            </w:r>
            <w:r w:rsidR="008B76AC">
              <w:rPr>
                <w:b/>
              </w:rPr>
              <w:t>, Chelly Hegan (by phone)</w:t>
            </w:r>
            <w:r w:rsidR="009C4F61">
              <w:rPr>
                <w:b/>
              </w:rPr>
              <w:t xml:space="preserve"> </w:t>
            </w:r>
          </w:p>
          <w:p w:rsidR="001A7704" w:rsidRPr="001E0050" w:rsidRDefault="00D81AA6" w:rsidP="00A512A1">
            <w:r w:rsidRPr="001E0050">
              <w:rPr>
                <w:b/>
              </w:rPr>
              <w:t xml:space="preserve">Board Members Absent:  </w:t>
            </w:r>
            <w:r w:rsidR="008B76AC">
              <w:rPr>
                <w:b/>
              </w:rPr>
              <w:t>Ken Stall, Onat Sanchez-Schwartz</w:t>
            </w:r>
          </w:p>
        </w:tc>
        <w:tc>
          <w:tcPr>
            <w:tcW w:w="4500" w:type="dxa"/>
          </w:tcPr>
          <w:p w:rsidR="00D81AA6" w:rsidRPr="001E0050" w:rsidRDefault="00D81AA6" w:rsidP="00A512A1">
            <w:pPr>
              <w:rPr>
                <w:b/>
              </w:rPr>
            </w:pPr>
            <w:r w:rsidRPr="001E0050">
              <w:rPr>
                <w:b/>
              </w:rPr>
              <w:t xml:space="preserve">Guests: </w:t>
            </w:r>
            <w:r w:rsidR="008B76AC">
              <w:rPr>
                <w:b/>
              </w:rPr>
              <w:t>Tim Bartholomew, TBOGC</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E40D99"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A512A1">
            <w:pPr>
              <w:spacing w:before="120" w:after="120"/>
            </w:pPr>
            <w:r w:rsidRPr="001E0050">
              <w:t>Highlights from the Financial Reports</w:t>
            </w:r>
          </w:p>
          <w:p w:rsidR="00E40D99" w:rsidRDefault="00E40D99" w:rsidP="00A512A1"/>
        </w:tc>
        <w:tc>
          <w:tcPr>
            <w:tcW w:w="12787" w:type="dxa"/>
            <w:gridSpan w:val="2"/>
            <w:tcBorders>
              <w:top w:val="single" w:sz="4" w:space="0" w:color="auto"/>
              <w:left w:val="single" w:sz="4" w:space="0" w:color="auto"/>
              <w:bottom w:val="single" w:sz="4" w:space="0" w:color="auto"/>
            </w:tcBorders>
            <w:vAlign w:val="center"/>
          </w:tcPr>
          <w:p w:rsidR="00E40D99" w:rsidRDefault="00E40D99" w:rsidP="00A512A1">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8B76AC">
              <w:t>October</w:t>
            </w:r>
            <w:r w:rsidR="001D6095">
              <w:t xml:space="preserve"> 31</w:t>
            </w:r>
            <w:r>
              <w:t>, 201</w:t>
            </w:r>
            <w:r w:rsidR="006C5404">
              <w:t>7</w:t>
            </w:r>
            <w:r>
              <w:t xml:space="preserve">. </w:t>
            </w:r>
            <w:r w:rsidR="00151D8B">
              <w:t xml:space="preserve">John Ray offered his “Fiscal Highlights” (see attached).  </w:t>
            </w:r>
          </w:p>
        </w:tc>
      </w:tr>
      <w:tr w:rsidR="009C4F61" w:rsidRPr="001E0050" w:rsidTr="00A56E15">
        <w:trPr>
          <w:trHeight w:val="710"/>
        </w:trPr>
        <w:tc>
          <w:tcPr>
            <w:tcW w:w="1793" w:type="dxa"/>
            <w:tcBorders>
              <w:top w:val="single" w:sz="4" w:space="0" w:color="auto"/>
              <w:left w:val="single" w:sz="8" w:space="0" w:color="auto"/>
              <w:bottom w:val="single" w:sz="4" w:space="0" w:color="auto"/>
              <w:right w:val="single" w:sz="4" w:space="0" w:color="auto"/>
            </w:tcBorders>
            <w:vAlign w:val="center"/>
          </w:tcPr>
          <w:p w:rsidR="009C4F61" w:rsidRPr="001E0050" w:rsidRDefault="009C4F61" w:rsidP="00A512A1">
            <w:pPr>
              <w:spacing w:before="120" w:after="120"/>
            </w:pPr>
            <w:r>
              <w:t>Monitoring Investment Account</w:t>
            </w:r>
          </w:p>
        </w:tc>
        <w:tc>
          <w:tcPr>
            <w:tcW w:w="12787" w:type="dxa"/>
            <w:gridSpan w:val="2"/>
            <w:tcBorders>
              <w:top w:val="single" w:sz="4" w:space="0" w:color="auto"/>
              <w:left w:val="single" w:sz="4" w:space="0" w:color="auto"/>
              <w:bottom w:val="single" w:sz="4" w:space="0" w:color="auto"/>
            </w:tcBorders>
            <w:vAlign w:val="center"/>
          </w:tcPr>
          <w:p w:rsidR="008B76AC" w:rsidRDefault="008B76AC" w:rsidP="00A512A1">
            <w:pPr>
              <w:spacing w:before="120" w:after="120"/>
            </w:pPr>
            <w:r>
              <w:t>Tim Bartholemew, our Investment Advisor from the Bank of Greene County, attended the meeting to provide his semi-annual in-person review pertaining to the agency’s investment account.  He provided statements from October and May, noting that the balance at January 1</w:t>
            </w:r>
            <w:r w:rsidRPr="008B76AC">
              <w:rPr>
                <w:vertAlign w:val="superscript"/>
              </w:rPr>
              <w:t>st</w:t>
            </w:r>
            <w:r>
              <w:t xml:space="preserve"> was $154,533.13 and at October 31</w:t>
            </w:r>
            <w:r w:rsidRPr="008B76AC">
              <w:rPr>
                <w:vertAlign w:val="superscript"/>
              </w:rPr>
              <w:t>st</w:t>
            </w:r>
            <w:r>
              <w:t xml:space="preserve"> was $164,090.28.  While he admitted the account is “not on fire here,” he noted it did experience a total growth between January and October of 5.82%.</w:t>
            </w:r>
          </w:p>
          <w:p w:rsidR="008B76AC" w:rsidRDefault="008B76AC" w:rsidP="00A512A1">
            <w:pPr>
              <w:spacing w:before="120" w:after="120"/>
            </w:pPr>
            <w:r>
              <w:t xml:space="preserve">Tim speculated about the effects of the pending tax plan.  It is his prediction that if the tax plan does not pass, there will be a </w:t>
            </w:r>
            <w:r w:rsidR="006E7DAB">
              <w:t>selloff</w:t>
            </w:r>
            <w:r>
              <w:t xml:space="preserve"> in the market</w:t>
            </w:r>
            <w:r w:rsidR="006E7DAB">
              <w:t xml:space="preserve"> which would drive prices down, and </w:t>
            </w:r>
            <w:r>
              <w:t>if it doe</w:t>
            </w:r>
            <w:r w:rsidR="006E7DAB">
              <w:t>s happen, the current growth will</w:t>
            </w:r>
            <w:r>
              <w:t xml:space="preserve"> continue into 2018.  </w:t>
            </w:r>
            <w:r>
              <w:t>His recommendation, if it does pass, is to make some subtle changes to the account.</w:t>
            </w:r>
            <w:r>
              <w:t xml:space="preserve">  He noted that there are a couple of funds within </w:t>
            </w:r>
            <w:r w:rsidR="006E7DAB">
              <w:t>the</w:t>
            </w:r>
            <w:r>
              <w:t xml:space="preserve"> portfolio which have </w:t>
            </w:r>
            <w:r w:rsidR="006E7DAB">
              <w:t xml:space="preserve">had </w:t>
            </w:r>
            <w:r>
              <w:t xml:space="preserve">lackluster performance.  He proposed to move 25% of the assets within each of these two positions into another fund which has experienced stronger growth.    </w:t>
            </w:r>
            <w:r w:rsidR="00BE521E">
              <w:t xml:space="preserve">The group </w:t>
            </w:r>
            <w:r w:rsidR="006E7DAB">
              <w:t xml:space="preserve">recognized </w:t>
            </w:r>
            <w:r w:rsidR="00BE521E">
              <w:t xml:space="preserve">that this would represent a shift from two ultra conservative, “stabilizing” funds to moderately aggressive funds focused on growth. </w:t>
            </w:r>
            <w:r w:rsidR="006E7DAB">
              <w:t>This is only a suggestion at this time; he would only make the change if the proposed legislation passes.</w:t>
            </w:r>
            <w:r w:rsidR="00472B51">
              <w:t xml:space="preserve">  The group discussed whether we should generally consider adding more equity stocks, consistent with the agency’s Investment Policy. </w:t>
            </w:r>
            <w:r w:rsidR="00472B51">
              <w:t>The group agreed to review the Investment Policy prior to its next meeting and to continue a conversation about rebalancing</w:t>
            </w:r>
            <w:r w:rsidR="00472B51">
              <w:t xml:space="preserve"> at that time</w:t>
            </w:r>
            <w:r w:rsidR="00472B51">
              <w:t xml:space="preserve">.  </w:t>
            </w:r>
          </w:p>
          <w:p w:rsidR="00BE521E" w:rsidRDefault="00BE521E" w:rsidP="00A512A1">
            <w:pPr>
              <w:spacing w:before="120" w:after="120"/>
            </w:pPr>
            <w:r>
              <w:t xml:space="preserve">The group had an extensive discussion about whether there was a stop loss feature on the account; Tim confirmed that there is not.  The group then discussed what precautions are taken to guarantee against excess loss. These entail reviewing the funds on a quarterly basis.  Also, Tim noted that he </w:t>
            </w:r>
            <w:r w:rsidR="00472B51">
              <w:t>monitors the funds themselves, if not our account,</w:t>
            </w:r>
            <w:r>
              <w:t xml:space="preserve"> daily.  Therefore, if anything dramatic were to occur, Tim would contact us immediately and directly with his recommendation.</w:t>
            </w:r>
            <w:r w:rsidR="00472B51">
              <w:t xml:space="preserve"> </w:t>
            </w:r>
            <w:r>
              <w:t>It was agreed that we may ask to institute a stop loss were we to add more equity stocks.</w:t>
            </w:r>
          </w:p>
          <w:p w:rsidR="009C4F61" w:rsidRPr="001E0050" w:rsidRDefault="00BE521E" w:rsidP="00472B51">
            <w:pPr>
              <w:spacing w:before="120" w:after="120"/>
            </w:pPr>
            <w:r>
              <w:t xml:space="preserve">The group then had an extensive discussion about </w:t>
            </w:r>
            <w:r w:rsidR="00472B51">
              <w:t xml:space="preserve">a new investment of </w:t>
            </w:r>
            <w:r>
              <w:t>excess cash</w:t>
            </w:r>
            <w:r w:rsidR="00472B51">
              <w:t xml:space="preserve">, discussing numbers from $25,000 to $100,000. It was decided that </w:t>
            </w:r>
            <w:r>
              <w:t xml:space="preserve">John </w:t>
            </w:r>
            <w:r w:rsidR="00472B51">
              <w:t xml:space="preserve">and Claire </w:t>
            </w:r>
            <w:r>
              <w:t xml:space="preserve">will </w:t>
            </w:r>
            <w:r w:rsidR="00472B51">
              <w:t xml:space="preserve">use the period between now and the next meeting to </w:t>
            </w:r>
            <w:r>
              <w:t>identify the fund balance at which they would like to operate, and any excess cash suitable for investment. A member advised that they also consult with their auditor</w:t>
            </w:r>
            <w:r w:rsidR="00A56E15">
              <w:t xml:space="preserve">. </w:t>
            </w:r>
          </w:p>
        </w:tc>
      </w:tr>
      <w:tr w:rsidR="00A56E15" w:rsidRPr="001E0050" w:rsidTr="00A56E15">
        <w:trPr>
          <w:trHeight w:val="602"/>
        </w:trPr>
        <w:tc>
          <w:tcPr>
            <w:tcW w:w="1793" w:type="dxa"/>
            <w:tcBorders>
              <w:top w:val="single" w:sz="4" w:space="0" w:color="auto"/>
              <w:left w:val="single" w:sz="8" w:space="0" w:color="auto"/>
              <w:bottom w:val="single" w:sz="4" w:space="0" w:color="auto"/>
              <w:right w:val="single" w:sz="4" w:space="0" w:color="auto"/>
            </w:tcBorders>
            <w:vAlign w:val="center"/>
          </w:tcPr>
          <w:p w:rsidR="00A56E15" w:rsidRDefault="00A56E15" w:rsidP="00A512A1">
            <w:pPr>
              <w:spacing w:before="120" w:after="120"/>
            </w:pPr>
            <w:r>
              <w:lastRenderedPageBreak/>
              <w:t>Report Format</w:t>
            </w:r>
          </w:p>
        </w:tc>
        <w:tc>
          <w:tcPr>
            <w:tcW w:w="12787" w:type="dxa"/>
            <w:gridSpan w:val="2"/>
            <w:tcBorders>
              <w:top w:val="single" w:sz="4" w:space="0" w:color="auto"/>
              <w:left w:val="single" w:sz="4" w:space="0" w:color="auto"/>
              <w:bottom w:val="single" w:sz="4" w:space="0" w:color="auto"/>
            </w:tcBorders>
            <w:vAlign w:val="center"/>
          </w:tcPr>
          <w:p w:rsidR="00A56E15" w:rsidRDefault="00A56E15" w:rsidP="00A512A1">
            <w:pPr>
              <w:spacing w:before="120" w:after="120"/>
            </w:pPr>
            <w:r>
              <w:t xml:space="preserve">The group agreed that John no longer needed to provide detailed A/P reports. </w:t>
            </w:r>
          </w:p>
        </w:tc>
      </w:tr>
      <w:tr w:rsidR="00A56E15"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A56E15" w:rsidRDefault="00A56E15" w:rsidP="00A512A1">
            <w:pPr>
              <w:spacing w:before="120" w:after="120"/>
            </w:pPr>
            <w:r>
              <w:t>Audit Update</w:t>
            </w:r>
          </w:p>
        </w:tc>
        <w:tc>
          <w:tcPr>
            <w:tcW w:w="12787" w:type="dxa"/>
            <w:gridSpan w:val="2"/>
            <w:tcBorders>
              <w:top w:val="single" w:sz="4" w:space="0" w:color="auto"/>
              <w:left w:val="single" w:sz="4" w:space="0" w:color="auto"/>
              <w:bottom w:val="single" w:sz="4" w:space="0" w:color="auto"/>
            </w:tcBorders>
            <w:vAlign w:val="center"/>
          </w:tcPr>
          <w:p w:rsidR="00A56E15" w:rsidRDefault="00A56E15" w:rsidP="00A512A1">
            <w:pPr>
              <w:spacing w:before="120" w:after="120"/>
            </w:pPr>
            <w:r>
              <w:t>John advised that Carol Hausamann from Marvin and Company will make a presentation to the Board at its meeting in December regarding the scope of audit.  They will also be on-site in December and again in February, with a completion date slated for April 1, 2018.</w:t>
            </w:r>
            <w:bookmarkStart w:id="0" w:name="_GoBack"/>
            <w:bookmarkEnd w:id="0"/>
          </w:p>
        </w:tc>
      </w:tr>
      <w:tr w:rsidR="00E40D99"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A512A1">
            <w:r>
              <w:t>Next mtng</w:t>
            </w:r>
          </w:p>
        </w:tc>
        <w:tc>
          <w:tcPr>
            <w:tcW w:w="12787" w:type="dxa"/>
            <w:gridSpan w:val="2"/>
            <w:tcBorders>
              <w:top w:val="single" w:sz="4" w:space="0" w:color="auto"/>
              <w:left w:val="single" w:sz="4" w:space="0" w:color="auto"/>
              <w:bottom w:val="single" w:sz="4" w:space="0" w:color="auto"/>
            </w:tcBorders>
            <w:vAlign w:val="center"/>
          </w:tcPr>
          <w:p w:rsidR="00E40D99" w:rsidRPr="001E0050" w:rsidRDefault="00E40D99" w:rsidP="00A512A1">
            <w:pPr>
              <w:spacing w:before="120"/>
            </w:pPr>
            <w:r w:rsidRPr="005D783D">
              <w:t xml:space="preserve">The next meeting is </w:t>
            </w:r>
            <w:r w:rsidR="008B76AC" w:rsidRPr="008B76AC">
              <w:rPr>
                <w:b/>
              </w:rPr>
              <w:t>January 16</w:t>
            </w:r>
            <w:r w:rsidR="008B76AC" w:rsidRPr="008B76AC">
              <w:rPr>
                <w:b/>
                <w:vertAlign w:val="superscript"/>
              </w:rPr>
              <w:t>th</w:t>
            </w:r>
            <w:r w:rsidR="008B76AC">
              <w:t xml:space="preserve"> </w:t>
            </w:r>
            <w:r w:rsidR="002061BD" w:rsidRPr="00B75C3E">
              <w:rPr>
                <w:b/>
              </w:rPr>
              <w:t>at 3:00 p.m.</w:t>
            </w:r>
          </w:p>
        </w:tc>
      </w:tr>
    </w:tbl>
    <w:p w:rsidR="00151D8B" w:rsidRDefault="00151D8B" w:rsidP="00A512A1">
      <w:pPr>
        <w:sectPr w:rsidR="00151D8B" w:rsidSect="006C5404">
          <w:pgSz w:w="15840" w:h="12240" w:orient="landscape"/>
          <w:pgMar w:top="720" w:right="576" w:bottom="720" w:left="720" w:header="720" w:footer="720" w:gutter="0"/>
          <w:cols w:space="720"/>
          <w:docGrid w:linePitch="360"/>
        </w:sectPr>
      </w:pPr>
    </w:p>
    <w:p w:rsidR="00151D8B" w:rsidRDefault="00151D8B" w:rsidP="00A512A1"/>
    <w:tbl>
      <w:tblPr>
        <w:tblStyle w:val="TableGrid"/>
        <w:tblW w:w="10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
        <w:gridCol w:w="1257"/>
        <w:gridCol w:w="1555"/>
        <w:gridCol w:w="2251"/>
        <w:gridCol w:w="1440"/>
        <w:gridCol w:w="1601"/>
        <w:gridCol w:w="1228"/>
        <w:gridCol w:w="1287"/>
      </w:tblGrid>
      <w:tr w:rsidR="006E7DAB" w:rsidRPr="006E7DAB" w:rsidTr="00A512A1">
        <w:trPr>
          <w:trHeight w:val="465"/>
        </w:trPr>
        <w:tc>
          <w:tcPr>
            <w:tcW w:w="10956" w:type="dxa"/>
            <w:gridSpan w:val="8"/>
            <w:noWrap/>
            <w:hideMark/>
          </w:tcPr>
          <w:p w:rsidR="006E7DAB" w:rsidRPr="00A512A1" w:rsidRDefault="006E7DAB" w:rsidP="00A512A1">
            <w:pPr>
              <w:jc w:val="center"/>
              <w:rPr>
                <w:b/>
                <w:bCs/>
                <w:sz w:val="32"/>
              </w:rPr>
            </w:pPr>
            <w:r w:rsidRPr="00A512A1">
              <w:rPr>
                <w:b/>
                <w:bCs/>
                <w:sz w:val="32"/>
              </w:rPr>
              <w:t>Finance &amp; Budget Committee Meeting</w:t>
            </w:r>
          </w:p>
        </w:tc>
      </w:tr>
      <w:tr w:rsidR="006E7DAB" w:rsidRPr="006E7DAB" w:rsidTr="00A512A1">
        <w:trPr>
          <w:trHeight w:val="465"/>
        </w:trPr>
        <w:tc>
          <w:tcPr>
            <w:tcW w:w="10956" w:type="dxa"/>
            <w:gridSpan w:val="8"/>
            <w:noWrap/>
            <w:hideMark/>
          </w:tcPr>
          <w:p w:rsidR="006E7DAB" w:rsidRPr="00A512A1" w:rsidRDefault="006E7DAB" w:rsidP="00A512A1">
            <w:pPr>
              <w:jc w:val="center"/>
              <w:rPr>
                <w:b/>
                <w:bCs/>
                <w:sz w:val="32"/>
              </w:rPr>
            </w:pPr>
            <w:r w:rsidRPr="00A512A1">
              <w:rPr>
                <w:b/>
                <w:bCs/>
                <w:sz w:val="32"/>
              </w:rPr>
              <w:t>Fiscal Highlights</w:t>
            </w:r>
          </w:p>
        </w:tc>
      </w:tr>
      <w:tr w:rsidR="006E7DAB" w:rsidRPr="006E7DAB" w:rsidTr="00A512A1">
        <w:trPr>
          <w:trHeight w:val="465"/>
        </w:trPr>
        <w:tc>
          <w:tcPr>
            <w:tcW w:w="10956" w:type="dxa"/>
            <w:gridSpan w:val="8"/>
            <w:noWrap/>
            <w:hideMark/>
          </w:tcPr>
          <w:p w:rsidR="006E7DAB" w:rsidRPr="00A512A1" w:rsidRDefault="006E7DAB" w:rsidP="00A512A1">
            <w:pPr>
              <w:jc w:val="center"/>
              <w:rPr>
                <w:b/>
                <w:bCs/>
                <w:sz w:val="32"/>
              </w:rPr>
            </w:pPr>
            <w:r w:rsidRPr="00A512A1">
              <w:rPr>
                <w:b/>
                <w:bCs/>
                <w:sz w:val="32"/>
              </w:rPr>
              <w:t>Tuesday, November 21, 2017</w:t>
            </w:r>
          </w:p>
        </w:tc>
      </w:tr>
      <w:tr w:rsidR="006E7DAB" w:rsidRPr="006E7DAB" w:rsidTr="00A512A1">
        <w:trPr>
          <w:trHeight w:val="435"/>
        </w:trPr>
        <w:tc>
          <w:tcPr>
            <w:tcW w:w="10956" w:type="dxa"/>
            <w:gridSpan w:val="8"/>
            <w:hideMark/>
          </w:tcPr>
          <w:p w:rsidR="006E7DAB" w:rsidRPr="006E7DAB" w:rsidRDefault="006E7DAB" w:rsidP="00A512A1">
            <w:pPr>
              <w:jc w:val="center"/>
            </w:pPr>
            <w:bookmarkStart w:id="1" w:name="RANGE!A4:H89"/>
            <w:r w:rsidRPr="006E7DAB">
              <w:t>Statement of Financial Position</w:t>
            </w:r>
            <w:bookmarkEnd w:id="1"/>
          </w:p>
        </w:tc>
      </w:tr>
      <w:tr w:rsidR="006E7DAB" w:rsidRPr="006E7DAB" w:rsidTr="00A512A1">
        <w:trPr>
          <w:trHeight w:val="1020"/>
        </w:trPr>
        <w:tc>
          <w:tcPr>
            <w:tcW w:w="10956" w:type="dxa"/>
            <w:gridSpan w:val="8"/>
            <w:hideMark/>
          </w:tcPr>
          <w:p w:rsidR="006E7DAB" w:rsidRPr="006E7DAB" w:rsidRDefault="006E7DAB" w:rsidP="00A512A1">
            <w:r w:rsidRPr="006E7DAB">
              <w:rPr>
                <w:b/>
                <w:bCs/>
              </w:rPr>
              <w:t>Cash</w:t>
            </w:r>
            <w:r w:rsidRPr="006E7DAB">
              <w:t xml:space="preserve"> -  Cash balance in the operating checking account started the year off with $355K and ended with $350K at October 31, 2017. Low balance on June 26th was $199K &amp; the high balance on February 17th was $405K. Average daily balance for 2017 is $325K. During the month of July'17, we received two grant advances from NYSDOH totaling $102K (Tobacco $80K + CSP $22K)</w:t>
            </w:r>
          </w:p>
        </w:tc>
      </w:tr>
      <w:tr w:rsidR="00A512A1" w:rsidRPr="006E7DAB" w:rsidTr="00A512A1">
        <w:trPr>
          <w:trHeight w:val="1620"/>
        </w:trPr>
        <w:tc>
          <w:tcPr>
            <w:tcW w:w="337" w:type="dxa"/>
            <w:hideMark/>
          </w:tcPr>
          <w:p w:rsidR="006E7DAB" w:rsidRPr="006E7DAB" w:rsidRDefault="006E7DAB" w:rsidP="00A512A1"/>
        </w:tc>
        <w:tc>
          <w:tcPr>
            <w:tcW w:w="1257" w:type="dxa"/>
            <w:hideMark/>
          </w:tcPr>
          <w:p w:rsidR="006E7DAB" w:rsidRPr="006E7DAB" w:rsidRDefault="00A512A1" w:rsidP="00A512A1">
            <w:r w:rsidRPr="006E7DAB">
              <w:drawing>
                <wp:anchor distT="0" distB="0" distL="114300" distR="114300" simplePos="0" relativeHeight="251659264" behindDoc="0" locked="0" layoutInCell="1" allowOverlap="1">
                  <wp:simplePos x="0" y="0"/>
                  <wp:positionH relativeFrom="column">
                    <wp:posOffset>-263525</wp:posOffset>
                  </wp:positionH>
                  <wp:positionV relativeFrom="paragraph">
                    <wp:posOffset>34290</wp:posOffset>
                  </wp:positionV>
                  <wp:extent cx="6791325" cy="2266950"/>
                  <wp:effectExtent l="0" t="0" r="9525" b="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1555" w:type="dxa"/>
            <w:hideMark/>
          </w:tcPr>
          <w:p w:rsidR="006E7DAB" w:rsidRPr="006E7DAB" w:rsidRDefault="006E7DAB" w:rsidP="00A512A1"/>
        </w:tc>
        <w:tc>
          <w:tcPr>
            <w:tcW w:w="2251" w:type="dxa"/>
            <w:hideMark/>
          </w:tcPr>
          <w:p w:rsidR="006E7DAB" w:rsidRPr="006E7DAB" w:rsidRDefault="006E7DAB" w:rsidP="00A512A1"/>
        </w:tc>
        <w:tc>
          <w:tcPr>
            <w:tcW w:w="1440" w:type="dxa"/>
            <w:hideMark/>
          </w:tcPr>
          <w:p w:rsidR="006E7DAB" w:rsidRPr="006E7DAB" w:rsidRDefault="006E7DAB" w:rsidP="00A512A1"/>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1620"/>
        </w:trPr>
        <w:tc>
          <w:tcPr>
            <w:tcW w:w="337" w:type="dxa"/>
            <w:hideMark/>
          </w:tcPr>
          <w:p w:rsidR="006E7DAB" w:rsidRPr="006E7DAB" w:rsidRDefault="006E7DAB" w:rsidP="00A512A1"/>
        </w:tc>
        <w:tc>
          <w:tcPr>
            <w:tcW w:w="1257" w:type="dxa"/>
            <w:hideMark/>
          </w:tcPr>
          <w:p w:rsidR="006E7DAB" w:rsidRPr="006E7DAB" w:rsidRDefault="006E7DAB" w:rsidP="00A512A1"/>
        </w:tc>
        <w:tc>
          <w:tcPr>
            <w:tcW w:w="1555" w:type="dxa"/>
            <w:hideMark/>
          </w:tcPr>
          <w:p w:rsidR="006E7DAB" w:rsidRPr="006E7DAB" w:rsidRDefault="006E7DAB" w:rsidP="00A512A1"/>
        </w:tc>
        <w:tc>
          <w:tcPr>
            <w:tcW w:w="2251" w:type="dxa"/>
            <w:hideMark/>
          </w:tcPr>
          <w:p w:rsidR="006E7DAB" w:rsidRPr="006E7DAB" w:rsidRDefault="006E7DAB" w:rsidP="00A512A1"/>
        </w:tc>
        <w:tc>
          <w:tcPr>
            <w:tcW w:w="1440" w:type="dxa"/>
            <w:hideMark/>
          </w:tcPr>
          <w:p w:rsidR="006E7DAB" w:rsidRPr="006E7DAB" w:rsidRDefault="006E7DAB" w:rsidP="00A512A1"/>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558"/>
        </w:trPr>
        <w:tc>
          <w:tcPr>
            <w:tcW w:w="337" w:type="dxa"/>
            <w:hideMark/>
          </w:tcPr>
          <w:p w:rsidR="006E7DAB" w:rsidRPr="006E7DAB" w:rsidRDefault="006E7DAB" w:rsidP="00A512A1"/>
        </w:tc>
        <w:tc>
          <w:tcPr>
            <w:tcW w:w="1257" w:type="dxa"/>
            <w:hideMark/>
          </w:tcPr>
          <w:p w:rsidR="006E7DAB" w:rsidRPr="006E7DAB" w:rsidRDefault="006E7DAB" w:rsidP="00A512A1"/>
        </w:tc>
        <w:tc>
          <w:tcPr>
            <w:tcW w:w="1555" w:type="dxa"/>
            <w:hideMark/>
          </w:tcPr>
          <w:p w:rsidR="006E7DAB" w:rsidRPr="006E7DAB" w:rsidRDefault="006E7DAB" w:rsidP="00A512A1"/>
        </w:tc>
        <w:tc>
          <w:tcPr>
            <w:tcW w:w="2251" w:type="dxa"/>
            <w:hideMark/>
          </w:tcPr>
          <w:p w:rsidR="006E7DAB" w:rsidRPr="006E7DAB" w:rsidRDefault="006E7DAB" w:rsidP="00A512A1"/>
        </w:tc>
        <w:tc>
          <w:tcPr>
            <w:tcW w:w="1440" w:type="dxa"/>
            <w:hideMark/>
          </w:tcPr>
          <w:p w:rsidR="006E7DAB" w:rsidRPr="006E7DAB" w:rsidRDefault="006E7DAB" w:rsidP="00A512A1"/>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6E7DAB" w:rsidRPr="006E7DAB" w:rsidTr="00A512A1">
        <w:trPr>
          <w:trHeight w:val="765"/>
        </w:trPr>
        <w:tc>
          <w:tcPr>
            <w:tcW w:w="10956" w:type="dxa"/>
            <w:gridSpan w:val="8"/>
            <w:hideMark/>
          </w:tcPr>
          <w:p w:rsidR="006E7DAB" w:rsidRPr="006E7DAB" w:rsidRDefault="006E7DAB" w:rsidP="00A512A1">
            <w:r w:rsidRPr="006E7DAB">
              <w:rPr>
                <w:b/>
                <w:bCs/>
              </w:rPr>
              <w:t>Grant</w:t>
            </w:r>
            <w:r w:rsidR="00A512A1">
              <w:rPr>
                <w:b/>
                <w:bCs/>
              </w:rPr>
              <w:t>s</w:t>
            </w:r>
            <w:r w:rsidRPr="006E7DAB">
              <w:rPr>
                <w:b/>
                <w:bCs/>
              </w:rPr>
              <w:t xml:space="preserve"> Receivable - </w:t>
            </w:r>
            <w:r w:rsidRPr="006E7DAB">
              <w:t xml:space="preserve">  As of October 31, 2017 our Grant Receivable is $196,611. Expectation is that we will collect on all receivables.  Summary as follows:</w:t>
            </w:r>
          </w:p>
        </w:tc>
      </w:tr>
      <w:tr w:rsidR="00A512A1" w:rsidRPr="006E7DAB" w:rsidTr="00A512A1">
        <w:trPr>
          <w:trHeight w:val="80"/>
        </w:trPr>
        <w:tc>
          <w:tcPr>
            <w:tcW w:w="337" w:type="dxa"/>
            <w:hideMark/>
          </w:tcPr>
          <w:p w:rsidR="006E7DAB" w:rsidRPr="006E7DAB" w:rsidRDefault="006E7DAB" w:rsidP="00A512A1"/>
        </w:tc>
        <w:tc>
          <w:tcPr>
            <w:tcW w:w="2812" w:type="dxa"/>
            <w:gridSpan w:val="2"/>
            <w:hideMark/>
          </w:tcPr>
          <w:p w:rsidR="006E7DAB" w:rsidRPr="006E7DAB" w:rsidRDefault="006E7DAB" w:rsidP="00A512A1"/>
        </w:tc>
        <w:tc>
          <w:tcPr>
            <w:tcW w:w="2251" w:type="dxa"/>
            <w:hideMark/>
          </w:tcPr>
          <w:p w:rsidR="006E7DAB" w:rsidRPr="006E7DAB" w:rsidRDefault="006E7DAB" w:rsidP="00A512A1"/>
        </w:tc>
        <w:tc>
          <w:tcPr>
            <w:tcW w:w="1440" w:type="dxa"/>
            <w:hideMark/>
          </w:tcPr>
          <w:p w:rsidR="006E7DAB" w:rsidRPr="006E7DAB" w:rsidRDefault="006E7DAB" w:rsidP="00A512A1">
            <w:pPr>
              <w:jc w:val="right"/>
            </w:pPr>
            <w:r w:rsidRPr="006E7DAB">
              <w:t>Amount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hideMark/>
          </w:tcPr>
          <w:p w:rsidR="006E7DAB" w:rsidRPr="006E7DAB" w:rsidRDefault="006E7DAB" w:rsidP="00A512A1"/>
        </w:tc>
        <w:tc>
          <w:tcPr>
            <w:tcW w:w="1257" w:type="dxa"/>
            <w:noWrap/>
            <w:hideMark/>
          </w:tcPr>
          <w:p w:rsidR="006E7DAB" w:rsidRPr="006E7DAB" w:rsidRDefault="006E7DAB" w:rsidP="00A512A1"/>
        </w:tc>
        <w:tc>
          <w:tcPr>
            <w:tcW w:w="3806" w:type="dxa"/>
            <w:gridSpan w:val="2"/>
            <w:hideMark/>
          </w:tcPr>
          <w:p w:rsidR="006E7DAB" w:rsidRPr="006E7DAB" w:rsidRDefault="006E7DAB" w:rsidP="00A512A1">
            <w:r w:rsidRPr="006E7DAB">
              <w:t>Rural Health Network Program</w:t>
            </w:r>
          </w:p>
        </w:tc>
        <w:tc>
          <w:tcPr>
            <w:tcW w:w="1440" w:type="dxa"/>
            <w:noWrap/>
            <w:hideMark/>
          </w:tcPr>
          <w:p w:rsidR="006E7DAB" w:rsidRPr="006E7DAB" w:rsidRDefault="006E7DAB" w:rsidP="00A512A1">
            <w:pPr>
              <w:jc w:val="right"/>
            </w:pPr>
            <w:r w:rsidRPr="006E7DAB">
              <w:t xml:space="preserve">49,150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hideMark/>
          </w:tcPr>
          <w:p w:rsidR="006E7DAB" w:rsidRPr="006E7DAB" w:rsidRDefault="006E7DAB" w:rsidP="00A512A1"/>
        </w:tc>
        <w:tc>
          <w:tcPr>
            <w:tcW w:w="1257" w:type="dxa"/>
            <w:noWrap/>
            <w:hideMark/>
          </w:tcPr>
          <w:p w:rsidR="006E7DAB" w:rsidRPr="006E7DAB" w:rsidRDefault="006E7DAB" w:rsidP="00A512A1"/>
        </w:tc>
        <w:tc>
          <w:tcPr>
            <w:tcW w:w="3806" w:type="dxa"/>
            <w:gridSpan w:val="2"/>
            <w:hideMark/>
          </w:tcPr>
          <w:p w:rsidR="006E7DAB" w:rsidRPr="006E7DAB" w:rsidRDefault="006E7DAB" w:rsidP="00A512A1">
            <w:r w:rsidRPr="006E7DAB">
              <w:t>Navigator Health Exchange Program</w:t>
            </w:r>
          </w:p>
        </w:tc>
        <w:tc>
          <w:tcPr>
            <w:tcW w:w="1440" w:type="dxa"/>
            <w:noWrap/>
            <w:hideMark/>
          </w:tcPr>
          <w:p w:rsidR="006E7DAB" w:rsidRPr="006E7DAB" w:rsidRDefault="006E7DAB" w:rsidP="00A512A1">
            <w:pPr>
              <w:jc w:val="right"/>
            </w:pPr>
            <w:r w:rsidRPr="006E7DAB">
              <w:t xml:space="preserve">45,089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hideMark/>
          </w:tcPr>
          <w:p w:rsidR="006E7DAB" w:rsidRPr="006E7DAB" w:rsidRDefault="006E7DAB" w:rsidP="00A512A1"/>
        </w:tc>
        <w:tc>
          <w:tcPr>
            <w:tcW w:w="1257" w:type="dxa"/>
            <w:noWrap/>
            <w:hideMark/>
          </w:tcPr>
          <w:p w:rsidR="006E7DAB" w:rsidRPr="006E7DAB" w:rsidRDefault="006E7DAB" w:rsidP="00A512A1"/>
        </w:tc>
        <w:tc>
          <w:tcPr>
            <w:tcW w:w="3806" w:type="dxa"/>
            <w:gridSpan w:val="2"/>
            <w:hideMark/>
          </w:tcPr>
          <w:p w:rsidR="006E7DAB" w:rsidRPr="006E7DAB" w:rsidRDefault="006E7DAB" w:rsidP="00A512A1">
            <w:r w:rsidRPr="006E7DAB">
              <w:t>Tobacco-Free Program</w:t>
            </w:r>
          </w:p>
        </w:tc>
        <w:tc>
          <w:tcPr>
            <w:tcW w:w="1440" w:type="dxa"/>
            <w:noWrap/>
            <w:hideMark/>
          </w:tcPr>
          <w:p w:rsidR="006E7DAB" w:rsidRPr="006E7DAB" w:rsidRDefault="006E7DAB" w:rsidP="00A512A1">
            <w:pPr>
              <w:jc w:val="right"/>
            </w:pPr>
            <w:r w:rsidRPr="006E7DAB">
              <w:t xml:space="preserve">32,856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hideMark/>
          </w:tcPr>
          <w:p w:rsidR="006E7DAB" w:rsidRPr="006E7DAB" w:rsidRDefault="006E7DAB" w:rsidP="00A512A1"/>
        </w:tc>
        <w:tc>
          <w:tcPr>
            <w:tcW w:w="1257" w:type="dxa"/>
            <w:noWrap/>
            <w:hideMark/>
          </w:tcPr>
          <w:p w:rsidR="006E7DAB" w:rsidRPr="006E7DAB" w:rsidRDefault="006E7DAB" w:rsidP="00A512A1"/>
        </w:tc>
        <w:tc>
          <w:tcPr>
            <w:tcW w:w="3806" w:type="dxa"/>
            <w:gridSpan w:val="2"/>
            <w:hideMark/>
          </w:tcPr>
          <w:p w:rsidR="006E7DAB" w:rsidRPr="006E7DAB" w:rsidRDefault="006E7DAB" w:rsidP="00A512A1">
            <w:r w:rsidRPr="006E7DAB">
              <w:t>Cancer Services Program</w:t>
            </w:r>
          </w:p>
        </w:tc>
        <w:tc>
          <w:tcPr>
            <w:tcW w:w="1440" w:type="dxa"/>
            <w:noWrap/>
            <w:hideMark/>
          </w:tcPr>
          <w:p w:rsidR="006E7DAB" w:rsidRPr="006E7DAB" w:rsidRDefault="006E7DAB" w:rsidP="00A512A1">
            <w:pPr>
              <w:jc w:val="right"/>
            </w:pPr>
            <w:r w:rsidRPr="006E7DAB">
              <w:t xml:space="preserve">18,830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hideMark/>
          </w:tcPr>
          <w:p w:rsidR="006E7DAB" w:rsidRPr="006E7DAB" w:rsidRDefault="006E7DAB" w:rsidP="00A512A1"/>
        </w:tc>
        <w:tc>
          <w:tcPr>
            <w:tcW w:w="1257" w:type="dxa"/>
            <w:noWrap/>
            <w:hideMark/>
          </w:tcPr>
          <w:p w:rsidR="006E7DAB" w:rsidRPr="006E7DAB" w:rsidRDefault="006E7DAB" w:rsidP="00A512A1"/>
        </w:tc>
        <w:tc>
          <w:tcPr>
            <w:tcW w:w="3806" w:type="dxa"/>
            <w:gridSpan w:val="2"/>
            <w:hideMark/>
          </w:tcPr>
          <w:p w:rsidR="006E7DAB" w:rsidRPr="006E7DAB" w:rsidRDefault="006E7DAB" w:rsidP="00A512A1">
            <w:r w:rsidRPr="006E7DAB">
              <w:t>Transportation-Medicaid</w:t>
            </w:r>
          </w:p>
        </w:tc>
        <w:tc>
          <w:tcPr>
            <w:tcW w:w="1440" w:type="dxa"/>
            <w:noWrap/>
            <w:hideMark/>
          </w:tcPr>
          <w:p w:rsidR="006E7DAB" w:rsidRPr="006E7DAB" w:rsidRDefault="006E7DAB" w:rsidP="00A512A1">
            <w:pPr>
              <w:jc w:val="right"/>
            </w:pPr>
            <w:r w:rsidRPr="006E7DAB">
              <w:t xml:space="preserve">15,564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hideMark/>
          </w:tcPr>
          <w:p w:rsidR="006E7DAB" w:rsidRPr="006E7DAB" w:rsidRDefault="006E7DAB" w:rsidP="00A512A1"/>
        </w:tc>
        <w:tc>
          <w:tcPr>
            <w:tcW w:w="1257" w:type="dxa"/>
            <w:noWrap/>
            <w:hideMark/>
          </w:tcPr>
          <w:p w:rsidR="006E7DAB" w:rsidRPr="006E7DAB" w:rsidRDefault="006E7DAB" w:rsidP="00A512A1"/>
        </w:tc>
        <w:tc>
          <w:tcPr>
            <w:tcW w:w="3806" w:type="dxa"/>
            <w:gridSpan w:val="2"/>
            <w:hideMark/>
          </w:tcPr>
          <w:p w:rsidR="006E7DAB" w:rsidRPr="006E7DAB" w:rsidRDefault="006E7DAB" w:rsidP="00A512A1">
            <w:r w:rsidRPr="006E7DAB">
              <w:t>Other Columbia County Programs</w:t>
            </w:r>
          </w:p>
        </w:tc>
        <w:tc>
          <w:tcPr>
            <w:tcW w:w="1440" w:type="dxa"/>
            <w:noWrap/>
            <w:hideMark/>
          </w:tcPr>
          <w:p w:rsidR="006E7DAB" w:rsidRPr="006E7DAB" w:rsidRDefault="006E7DAB" w:rsidP="00A512A1">
            <w:pPr>
              <w:jc w:val="right"/>
            </w:pPr>
            <w:r w:rsidRPr="006E7DAB">
              <w:t xml:space="preserve">30,140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hideMark/>
          </w:tcPr>
          <w:p w:rsidR="006E7DAB" w:rsidRPr="006E7DAB" w:rsidRDefault="006E7DAB" w:rsidP="00A512A1"/>
        </w:tc>
        <w:tc>
          <w:tcPr>
            <w:tcW w:w="1257" w:type="dxa"/>
            <w:noWrap/>
            <w:hideMark/>
          </w:tcPr>
          <w:p w:rsidR="006E7DAB" w:rsidRPr="006E7DAB" w:rsidRDefault="006E7DAB" w:rsidP="00A512A1"/>
        </w:tc>
        <w:tc>
          <w:tcPr>
            <w:tcW w:w="3806" w:type="dxa"/>
            <w:gridSpan w:val="2"/>
            <w:hideMark/>
          </w:tcPr>
          <w:p w:rsidR="006E7DAB" w:rsidRPr="006E7DAB" w:rsidRDefault="006E7DAB" w:rsidP="00A512A1">
            <w:r w:rsidRPr="006E7DAB">
              <w:t>Greene County DSS</w:t>
            </w:r>
          </w:p>
        </w:tc>
        <w:tc>
          <w:tcPr>
            <w:tcW w:w="1440" w:type="dxa"/>
            <w:noWrap/>
            <w:hideMark/>
          </w:tcPr>
          <w:p w:rsidR="006E7DAB" w:rsidRPr="006E7DAB" w:rsidRDefault="006E7DAB" w:rsidP="00A512A1">
            <w:pPr>
              <w:jc w:val="right"/>
            </w:pPr>
            <w:r w:rsidRPr="006E7DAB">
              <w:t xml:space="preserve">4,983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729"/>
        </w:trPr>
        <w:tc>
          <w:tcPr>
            <w:tcW w:w="337" w:type="dxa"/>
            <w:hideMark/>
          </w:tcPr>
          <w:p w:rsidR="006E7DAB" w:rsidRPr="006E7DAB" w:rsidRDefault="006E7DAB" w:rsidP="00A512A1"/>
        </w:tc>
        <w:tc>
          <w:tcPr>
            <w:tcW w:w="2812" w:type="dxa"/>
            <w:gridSpan w:val="2"/>
            <w:hideMark/>
          </w:tcPr>
          <w:p w:rsidR="006E7DAB" w:rsidRPr="00A512A1" w:rsidRDefault="006E7DAB" w:rsidP="00A512A1">
            <w:pPr>
              <w:rPr>
                <w:b/>
              </w:rPr>
            </w:pPr>
            <w:r w:rsidRPr="00A512A1">
              <w:rPr>
                <w:b/>
              </w:rPr>
              <w:t>Total Grant</w:t>
            </w:r>
            <w:r w:rsidR="00A512A1">
              <w:rPr>
                <w:b/>
              </w:rPr>
              <w:t>s</w:t>
            </w:r>
            <w:r w:rsidRPr="00A512A1">
              <w:rPr>
                <w:b/>
              </w:rPr>
              <w:t xml:space="preserve"> Receivable</w:t>
            </w:r>
          </w:p>
        </w:tc>
        <w:tc>
          <w:tcPr>
            <w:tcW w:w="2251" w:type="dxa"/>
            <w:hideMark/>
          </w:tcPr>
          <w:p w:rsidR="006E7DAB" w:rsidRPr="00A512A1" w:rsidRDefault="00A512A1" w:rsidP="00A512A1">
            <w:pPr>
              <w:rPr>
                <w:b/>
              </w:rPr>
            </w:pPr>
            <w:r w:rsidRPr="006E7DAB">
              <w:drawing>
                <wp:anchor distT="0" distB="0" distL="114300" distR="114300" simplePos="0" relativeHeight="251660288" behindDoc="0" locked="0" layoutInCell="1" allowOverlap="1">
                  <wp:simplePos x="0" y="0"/>
                  <wp:positionH relativeFrom="column">
                    <wp:posOffset>-2106295</wp:posOffset>
                  </wp:positionH>
                  <wp:positionV relativeFrom="paragraph">
                    <wp:posOffset>209550</wp:posOffset>
                  </wp:positionV>
                  <wp:extent cx="6905625" cy="2505075"/>
                  <wp:effectExtent l="0" t="0" r="9525" b="9525"/>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1440" w:type="dxa"/>
            <w:hideMark/>
          </w:tcPr>
          <w:p w:rsidR="006E7DAB" w:rsidRPr="00A512A1" w:rsidRDefault="006E7DAB" w:rsidP="00A512A1">
            <w:pPr>
              <w:jc w:val="right"/>
              <w:rPr>
                <w:b/>
              </w:rPr>
            </w:pPr>
            <w:r w:rsidRPr="00A512A1">
              <w:rPr>
                <w:b/>
              </w:rPr>
              <w:t xml:space="preserve">$196,611 </w:t>
            </w:r>
          </w:p>
        </w:tc>
        <w:tc>
          <w:tcPr>
            <w:tcW w:w="1601" w:type="dxa"/>
            <w:hideMark/>
          </w:tcPr>
          <w:p w:rsidR="006E7DAB" w:rsidRPr="006E7DAB" w:rsidRDefault="006E7DAB" w:rsidP="00A512A1"/>
        </w:tc>
        <w:tc>
          <w:tcPr>
            <w:tcW w:w="1228" w:type="dxa"/>
            <w:hideMark/>
          </w:tcPr>
          <w:p w:rsidR="006E7DAB" w:rsidRPr="006E7DAB" w:rsidRDefault="006E7DAB" w:rsidP="00A512A1"/>
        </w:tc>
        <w:tc>
          <w:tcPr>
            <w:tcW w:w="1287" w:type="dxa"/>
            <w:hideMark/>
          </w:tcPr>
          <w:p w:rsidR="006E7DAB" w:rsidRPr="006E7DAB" w:rsidRDefault="006E7DAB" w:rsidP="00A512A1"/>
        </w:tc>
      </w:tr>
    </w:tbl>
    <w:p w:rsidR="00A512A1" w:rsidRDefault="00A512A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1232"/>
        <w:gridCol w:w="2064"/>
        <w:gridCol w:w="1442"/>
        <w:gridCol w:w="1012"/>
        <w:gridCol w:w="2042"/>
        <w:gridCol w:w="1933"/>
        <w:gridCol w:w="850"/>
      </w:tblGrid>
      <w:tr w:rsidR="00A512A1" w:rsidRPr="006E7DAB" w:rsidTr="00A512A1">
        <w:trPr>
          <w:trHeight w:val="80"/>
        </w:trPr>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r>
      <w:tr w:rsidR="006E7DAB" w:rsidRPr="006E7DAB" w:rsidTr="00A512A1">
        <w:trPr>
          <w:trHeight w:val="765"/>
        </w:trPr>
        <w:tc>
          <w:tcPr>
            <w:tcW w:w="0" w:type="auto"/>
            <w:gridSpan w:val="8"/>
            <w:hideMark/>
          </w:tcPr>
          <w:p w:rsidR="006E7DAB" w:rsidRPr="006E7DAB" w:rsidRDefault="006E7DAB" w:rsidP="00A512A1">
            <w:r w:rsidRPr="006E7DAB">
              <w:rPr>
                <w:b/>
                <w:bCs/>
              </w:rPr>
              <w:t>Investment - Infinex Financial-Securities</w:t>
            </w:r>
            <w:r w:rsidRPr="006E7DAB">
              <w:t xml:space="preserve"> - As of October 31, 2017, investment account value of six mutual funds is $164,090. Initial investment was $25K per mutual fund</w:t>
            </w:r>
          </w:p>
        </w:tc>
      </w:tr>
      <w:tr w:rsidR="00A512A1" w:rsidRPr="006E7DAB" w:rsidTr="00A512A1">
        <w:trPr>
          <w:trHeight w:val="345"/>
        </w:trPr>
        <w:tc>
          <w:tcPr>
            <w:tcW w:w="0" w:type="auto"/>
            <w:hideMark/>
          </w:tcPr>
          <w:p w:rsidR="006E7DAB" w:rsidRPr="006E7DAB" w:rsidRDefault="006E7DAB" w:rsidP="00A512A1"/>
        </w:tc>
        <w:tc>
          <w:tcPr>
            <w:tcW w:w="0" w:type="auto"/>
            <w:noWrap/>
            <w:hideMark/>
          </w:tcPr>
          <w:p w:rsidR="006E7DAB" w:rsidRPr="006E7DAB" w:rsidRDefault="006E7DAB" w:rsidP="00A512A1"/>
        </w:tc>
        <w:tc>
          <w:tcPr>
            <w:tcW w:w="0" w:type="auto"/>
            <w:noWrap/>
            <w:hideMark/>
          </w:tcPr>
          <w:p w:rsidR="006E7DAB" w:rsidRPr="006E7DAB" w:rsidRDefault="006E7DAB" w:rsidP="00A512A1">
            <w:r w:rsidRPr="006E7DAB">
              <w:t>Beginning</w:t>
            </w:r>
          </w:p>
        </w:tc>
        <w:tc>
          <w:tcPr>
            <w:tcW w:w="0" w:type="auto"/>
            <w:noWrap/>
            <w:hideMark/>
          </w:tcPr>
          <w:p w:rsidR="006E7DAB" w:rsidRPr="006E7DAB" w:rsidRDefault="006E7DAB" w:rsidP="00A512A1">
            <w:r w:rsidRPr="006E7DAB">
              <w:t>Purchases</w:t>
            </w:r>
          </w:p>
        </w:tc>
        <w:tc>
          <w:tcPr>
            <w:tcW w:w="0" w:type="auto"/>
            <w:noWrap/>
            <w:hideMark/>
          </w:tcPr>
          <w:p w:rsidR="006E7DAB" w:rsidRPr="006E7DAB" w:rsidRDefault="006E7DAB" w:rsidP="00A512A1">
            <w:r w:rsidRPr="006E7DAB">
              <w:t>Income</w:t>
            </w:r>
          </w:p>
        </w:tc>
        <w:tc>
          <w:tcPr>
            <w:tcW w:w="0" w:type="auto"/>
            <w:noWrap/>
            <w:hideMark/>
          </w:tcPr>
          <w:p w:rsidR="006E7DAB" w:rsidRPr="006E7DAB" w:rsidRDefault="006E7DAB" w:rsidP="00A512A1">
            <w:r w:rsidRPr="006E7DAB">
              <w:t>Unrealized Gains</w:t>
            </w:r>
          </w:p>
        </w:tc>
        <w:tc>
          <w:tcPr>
            <w:tcW w:w="0" w:type="auto"/>
            <w:noWrap/>
            <w:hideMark/>
          </w:tcPr>
          <w:p w:rsidR="006E7DAB" w:rsidRPr="006E7DAB" w:rsidRDefault="006E7DAB" w:rsidP="00A512A1">
            <w:r w:rsidRPr="006E7DAB">
              <w:t>Ending Balance</w:t>
            </w:r>
          </w:p>
        </w:tc>
        <w:tc>
          <w:tcPr>
            <w:tcW w:w="0" w:type="auto"/>
            <w:noWrap/>
            <w:hideMark/>
          </w:tcPr>
          <w:p w:rsidR="006E7DAB" w:rsidRPr="006E7DAB" w:rsidRDefault="006E7DAB" w:rsidP="00A512A1"/>
        </w:tc>
      </w:tr>
      <w:tr w:rsidR="00A512A1" w:rsidRPr="006E7DAB" w:rsidTr="00A512A1">
        <w:trPr>
          <w:trHeight w:val="300"/>
        </w:trPr>
        <w:tc>
          <w:tcPr>
            <w:tcW w:w="0" w:type="auto"/>
            <w:hideMark/>
          </w:tcPr>
          <w:p w:rsidR="006E7DAB" w:rsidRPr="006E7DAB" w:rsidRDefault="006E7DAB" w:rsidP="00A512A1"/>
        </w:tc>
        <w:tc>
          <w:tcPr>
            <w:tcW w:w="0" w:type="auto"/>
            <w:tcBorders>
              <w:bottom w:val="single" w:sz="4" w:space="0" w:color="auto"/>
            </w:tcBorders>
            <w:noWrap/>
            <w:hideMark/>
          </w:tcPr>
          <w:p w:rsidR="006E7DAB" w:rsidRPr="006E7DAB" w:rsidRDefault="006E7DAB" w:rsidP="00A512A1">
            <w:r w:rsidRPr="006E7DAB">
              <w:t>Cash</w:t>
            </w:r>
          </w:p>
        </w:tc>
        <w:tc>
          <w:tcPr>
            <w:tcW w:w="0" w:type="auto"/>
            <w:tcBorders>
              <w:bottom w:val="single" w:sz="4" w:space="0" w:color="auto"/>
            </w:tcBorders>
            <w:noWrap/>
            <w:hideMark/>
          </w:tcPr>
          <w:p w:rsidR="006E7DAB" w:rsidRPr="006E7DAB" w:rsidRDefault="006E7DAB" w:rsidP="00A512A1">
            <w:r w:rsidRPr="006E7DAB">
              <w:t>(0)</w:t>
            </w:r>
          </w:p>
        </w:tc>
        <w:tc>
          <w:tcPr>
            <w:tcW w:w="0" w:type="auto"/>
            <w:tcBorders>
              <w:bottom w:val="single" w:sz="4" w:space="0" w:color="auto"/>
            </w:tcBorders>
            <w:noWrap/>
            <w:hideMark/>
          </w:tcPr>
          <w:p w:rsidR="006E7DAB" w:rsidRPr="006E7DAB" w:rsidRDefault="006E7DAB" w:rsidP="00A512A1">
            <w:r w:rsidRPr="006E7DAB">
              <w:t>(2,683)</w:t>
            </w:r>
          </w:p>
        </w:tc>
        <w:tc>
          <w:tcPr>
            <w:tcW w:w="0" w:type="auto"/>
            <w:tcBorders>
              <w:bottom w:val="single" w:sz="4" w:space="0" w:color="auto"/>
            </w:tcBorders>
            <w:noWrap/>
            <w:hideMark/>
          </w:tcPr>
          <w:p w:rsidR="006E7DAB" w:rsidRPr="006E7DAB" w:rsidRDefault="006E7DAB" w:rsidP="00A512A1">
            <w:r w:rsidRPr="006E7DAB">
              <w:t xml:space="preserve">2,683 </w:t>
            </w:r>
          </w:p>
        </w:tc>
        <w:tc>
          <w:tcPr>
            <w:tcW w:w="0" w:type="auto"/>
            <w:tcBorders>
              <w:bottom w:val="single" w:sz="4" w:space="0" w:color="auto"/>
            </w:tcBorders>
            <w:noWrap/>
            <w:hideMark/>
          </w:tcPr>
          <w:p w:rsidR="006E7DAB" w:rsidRPr="006E7DAB" w:rsidRDefault="006E7DAB" w:rsidP="00A512A1">
            <w:r w:rsidRPr="006E7DAB">
              <w:t> </w:t>
            </w:r>
          </w:p>
        </w:tc>
        <w:tc>
          <w:tcPr>
            <w:tcW w:w="0" w:type="auto"/>
            <w:tcBorders>
              <w:bottom w:val="single" w:sz="4" w:space="0" w:color="auto"/>
            </w:tcBorders>
            <w:noWrap/>
            <w:hideMark/>
          </w:tcPr>
          <w:p w:rsidR="006E7DAB" w:rsidRPr="006E7DAB" w:rsidRDefault="006E7DAB" w:rsidP="00A512A1">
            <w:r w:rsidRPr="006E7DAB">
              <w:t>(0)</w:t>
            </w:r>
          </w:p>
        </w:tc>
        <w:tc>
          <w:tcPr>
            <w:tcW w:w="0" w:type="auto"/>
            <w:tcBorders>
              <w:bottom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FCISX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26,400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1,038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1,038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929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28,367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FRUGX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24,919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481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481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(415)</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24,985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FRGSX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25,841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0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0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5,709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31,550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FCSCX</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25,202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311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311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(424)</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25,089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FSGCX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25,507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319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319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713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26,539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TEGBX</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26,664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535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535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361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27,560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r>
      <w:tr w:rsidR="00A512A1" w:rsidRPr="006E7DAB" w:rsidTr="00A512A1">
        <w:trPr>
          <w:trHeight w:val="315"/>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154,533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Totals</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6,873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 xml:space="preserve">164,090 </w:t>
            </w:r>
          </w:p>
        </w:tc>
        <w:tc>
          <w:tcPr>
            <w:tcW w:w="0" w:type="auto"/>
            <w:tcBorders>
              <w:top w:val="single" w:sz="4" w:space="0" w:color="auto"/>
              <w:left w:val="single" w:sz="4" w:space="0" w:color="auto"/>
              <w:bottom w:val="single" w:sz="4" w:space="0" w:color="auto"/>
              <w:right w:val="single" w:sz="4" w:space="0" w:color="auto"/>
            </w:tcBorders>
            <w:noWrap/>
            <w:hideMark/>
          </w:tcPr>
          <w:p w:rsidR="006E7DAB" w:rsidRPr="006E7DAB" w:rsidRDefault="006E7DAB" w:rsidP="00A512A1">
            <w:r w:rsidRPr="006E7DAB">
              <w:t>6.18%</w:t>
            </w:r>
          </w:p>
        </w:tc>
      </w:tr>
      <w:tr w:rsidR="00A512A1" w:rsidRPr="006E7DAB" w:rsidTr="00A512A1">
        <w:trPr>
          <w:trHeight w:val="315"/>
        </w:trPr>
        <w:tc>
          <w:tcPr>
            <w:tcW w:w="0" w:type="auto"/>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r>
      <w:tr w:rsidR="00A512A1" w:rsidRPr="006E7DAB" w:rsidTr="00A512A1">
        <w:trPr>
          <w:trHeight w:val="945"/>
        </w:trPr>
        <w:tc>
          <w:tcPr>
            <w:tcW w:w="0" w:type="auto"/>
            <w:hideMark/>
          </w:tcPr>
          <w:p w:rsidR="006E7DAB" w:rsidRPr="006E7DAB" w:rsidRDefault="006E7DAB" w:rsidP="00A512A1"/>
        </w:tc>
        <w:tc>
          <w:tcPr>
            <w:tcW w:w="0" w:type="auto"/>
            <w:gridSpan w:val="6"/>
            <w:hideMark/>
          </w:tcPr>
          <w:p w:rsidR="006E7DAB" w:rsidRPr="006E7DAB" w:rsidRDefault="006E7DAB" w:rsidP="00A512A1">
            <w:r w:rsidRPr="006E7DAB">
              <w:rPr>
                <w:b/>
                <w:bCs/>
              </w:rPr>
              <w:t>TEGBX</w:t>
            </w:r>
            <w:r w:rsidRPr="006E7DAB">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0" w:type="auto"/>
            <w:hideMark/>
          </w:tcPr>
          <w:p w:rsidR="006E7DAB" w:rsidRPr="006E7DAB" w:rsidRDefault="006E7DAB" w:rsidP="00A512A1"/>
        </w:tc>
      </w:tr>
      <w:tr w:rsidR="00A512A1" w:rsidRPr="006E7DAB" w:rsidTr="00A512A1">
        <w:trPr>
          <w:trHeight w:val="945"/>
        </w:trPr>
        <w:tc>
          <w:tcPr>
            <w:tcW w:w="0" w:type="auto"/>
            <w:hideMark/>
          </w:tcPr>
          <w:p w:rsidR="006E7DAB" w:rsidRPr="006E7DAB" w:rsidRDefault="006E7DAB" w:rsidP="00A512A1"/>
        </w:tc>
        <w:tc>
          <w:tcPr>
            <w:tcW w:w="0" w:type="auto"/>
            <w:gridSpan w:val="6"/>
            <w:hideMark/>
          </w:tcPr>
          <w:p w:rsidR="006E7DAB" w:rsidRPr="006E7DAB" w:rsidRDefault="006E7DAB" w:rsidP="00A512A1">
            <w:r w:rsidRPr="006E7DAB">
              <w:rPr>
                <w:b/>
                <w:bCs/>
              </w:rPr>
              <w:t>FSGCX</w:t>
            </w:r>
            <w:r w:rsidRPr="006E7DAB">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0" w:type="auto"/>
            <w:hideMark/>
          </w:tcPr>
          <w:p w:rsidR="006E7DAB" w:rsidRPr="006E7DAB" w:rsidRDefault="006E7DAB" w:rsidP="00A512A1"/>
        </w:tc>
      </w:tr>
      <w:tr w:rsidR="00A512A1" w:rsidRPr="006E7DAB" w:rsidTr="00A512A1">
        <w:trPr>
          <w:trHeight w:val="945"/>
        </w:trPr>
        <w:tc>
          <w:tcPr>
            <w:tcW w:w="0" w:type="auto"/>
            <w:hideMark/>
          </w:tcPr>
          <w:p w:rsidR="006E7DAB" w:rsidRPr="006E7DAB" w:rsidRDefault="006E7DAB" w:rsidP="00A512A1"/>
        </w:tc>
        <w:tc>
          <w:tcPr>
            <w:tcW w:w="0" w:type="auto"/>
            <w:gridSpan w:val="6"/>
            <w:hideMark/>
          </w:tcPr>
          <w:p w:rsidR="006E7DAB" w:rsidRPr="006E7DAB" w:rsidRDefault="006E7DAB" w:rsidP="00A512A1">
            <w:r w:rsidRPr="006E7DAB">
              <w:rPr>
                <w:b/>
                <w:bCs/>
              </w:rPr>
              <w:t>FCSCX</w:t>
            </w:r>
            <w:r w:rsidRPr="006E7DAB">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0" w:type="auto"/>
            <w:hideMark/>
          </w:tcPr>
          <w:p w:rsidR="006E7DAB" w:rsidRPr="006E7DAB" w:rsidRDefault="006E7DAB" w:rsidP="00A512A1"/>
        </w:tc>
      </w:tr>
      <w:tr w:rsidR="00A512A1" w:rsidRPr="006E7DAB" w:rsidTr="00A512A1">
        <w:trPr>
          <w:trHeight w:val="945"/>
        </w:trPr>
        <w:tc>
          <w:tcPr>
            <w:tcW w:w="0" w:type="auto"/>
            <w:hideMark/>
          </w:tcPr>
          <w:p w:rsidR="006E7DAB" w:rsidRPr="006E7DAB" w:rsidRDefault="006E7DAB" w:rsidP="00A512A1"/>
        </w:tc>
        <w:tc>
          <w:tcPr>
            <w:tcW w:w="0" w:type="auto"/>
            <w:gridSpan w:val="6"/>
            <w:hideMark/>
          </w:tcPr>
          <w:p w:rsidR="006E7DAB" w:rsidRPr="006E7DAB" w:rsidRDefault="006E7DAB" w:rsidP="00A512A1">
            <w:r w:rsidRPr="006E7DAB">
              <w:rPr>
                <w:b/>
                <w:bCs/>
              </w:rPr>
              <w:t>FRGSX</w:t>
            </w:r>
            <w:r w:rsidRPr="006E7DAB">
              <w:t>-Franklin Growth Series Class C- Strategy: The Fund seeks capital appreciation. The Fund primarily invests in equity securities that are leaders in their industries.</w:t>
            </w:r>
          </w:p>
        </w:tc>
        <w:tc>
          <w:tcPr>
            <w:tcW w:w="0" w:type="auto"/>
            <w:hideMark/>
          </w:tcPr>
          <w:p w:rsidR="006E7DAB" w:rsidRPr="006E7DAB" w:rsidRDefault="006E7DAB" w:rsidP="00A512A1"/>
        </w:tc>
      </w:tr>
      <w:tr w:rsidR="00A512A1" w:rsidRPr="006E7DAB" w:rsidTr="00A512A1">
        <w:trPr>
          <w:trHeight w:val="945"/>
        </w:trPr>
        <w:tc>
          <w:tcPr>
            <w:tcW w:w="0" w:type="auto"/>
            <w:hideMark/>
          </w:tcPr>
          <w:p w:rsidR="006E7DAB" w:rsidRPr="006E7DAB" w:rsidRDefault="006E7DAB" w:rsidP="00A512A1"/>
        </w:tc>
        <w:tc>
          <w:tcPr>
            <w:tcW w:w="0" w:type="auto"/>
            <w:gridSpan w:val="6"/>
            <w:hideMark/>
          </w:tcPr>
          <w:p w:rsidR="006E7DAB" w:rsidRPr="006E7DAB" w:rsidRDefault="006E7DAB" w:rsidP="00A512A1">
            <w:r w:rsidRPr="006E7DAB">
              <w:rPr>
                <w:b/>
                <w:bCs/>
              </w:rPr>
              <w:t>FRUGX</w:t>
            </w:r>
            <w:r w:rsidRPr="006E7DAB">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0" w:type="auto"/>
            <w:hideMark/>
          </w:tcPr>
          <w:p w:rsidR="006E7DAB" w:rsidRPr="006E7DAB" w:rsidRDefault="006E7DAB" w:rsidP="00A512A1"/>
        </w:tc>
      </w:tr>
      <w:tr w:rsidR="00A512A1" w:rsidRPr="006E7DAB" w:rsidTr="00A512A1">
        <w:trPr>
          <w:trHeight w:val="945"/>
        </w:trPr>
        <w:tc>
          <w:tcPr>
            <w:tcW w:w="0" w:type="auto"/>
            <w:hideMark/>
          </w:tcPr>
          <w:p w:rsidR="006E7DAB" w:rsidRPr="006E7DAB" w:rsidRDefault="006E7DAB" w:rsidP="00A512A1"/>
        </w:tc>
        <w:tc>
          <w:tcPr>
            <w:tcW w:w="0" w:type="auto"/>
            <w:gridSpan w:val="6"/>
            <w:hideMark/>
          </w:tcPr>
          <w:p w:rsidR="006E7DAB" w:rsidRPr="006E7DAB" w:rsidRDefault="006E7DAB" w:rsidP="00A512A1">
            <w:r w:rsidRPr="006E7DAB">
              <w:rPr>
                <w:b/>
                <w:bCs/>
              </w:rPr>
              <w:t>FCISX</w:t>
            </w:r>
            <w:r w:rsidRPr="006E7DAB">
              <w:t xml:space="preserve">-Franklin Income Series Class C- Strategy: The Fund seeks to maximize income while maintaining prospects for capital appreciation. The Fund will achieve this by investing in a diversified portfolio of debt and equity securities. </w:t>
            </w:r>
          </w:p>
        </w:tc>
        <w:tc>
          <w:tcPr>
            <w:tcW w:w="0" w:type="auto"/>
            <w:hideMark/>
          </w:tcPr>
          <w:p w:rsidR="006E7DAB" w:rsidRPr="006E7DAB" w:rsidRDefault="006E7DAB" w:rsidP="00A512A1"/>
        </w:tc>
      </w:tr>
      <w:tr w:rsidR="00A512A1" w:rsidRPr="006E7DAB" w:rsidTr="00A512A1">
        <w:trPr>
          <w:trHeight w:val="150"/>
        </w:trPr>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r>
      <w:tr w:rsidR="006E7DAB" w:rsidRPr="006E7DAB" w:rsidTr="00A512A1">
        <w:trPr>
          <w:trHeight w:val="510"/>
        </w:trPr>
        <w:tc>
          <w:tcPr>
            <w:tcW w:w="0" w:type="auto"/>
            <w:gridSpan w:val="8"/>
            <w:hideMark/>
          </w:tcPr>
          <w:p w:rsidR="006E7DAB" w:rsidRPr="006E7DAB" w:rsidRDefault="006E7DAB" w:rsidP="00A512A1">
            <w:r w:rsidRPr="006E7DAB">
              <w:rPr>
                <w:b/>
                <w:bCs/>
              </w:rPr>
              <w:t>Equipment, Furniture &amp; Vehicles</w:t>
            </w:r>
            <w:r w:rsidRPr="006E7DAB">
              <w:t xml:space="preserve"> -Agency purchased and sold the following capital equipment. </w:t>
            </w:r>
          </w:p>
        </w:tc>
      </w:tr>
      <w:tr w:rsidR="00A512A1" w:rsidRPr="006E7DAB" w:rsidTr="00A512A1">
        <w:trPr>
          <w:trHeight w:val="300"/>
        </w:trPr>
        <w:tc>
          <w:tcPr>
            <w:tcW w:w="0" w:type="auto"/>
            <w:hideMark/>
          </w:tcPr>
          <w:p w:rsidR="006E7DAB" w:rsidRPr="006E7DAB" w:rsidRDefault="006E7DAB" w:rsidP="00A512A1"/>
        </w:tc>
        <w:tc>
          <w:tcPr>
            <w:tcW w:w="0" w:type="auto"/>
            <w:tcBorders>
              <w:bottom w:val="single" w:sz="4" w:space="0" w:color="auto"/>
            </w:tcBorders>
            <w:hideMark/>
          </w:tcPr>
          <w:p w:rsidR="006E7DAB" w:rsidRPr="006E7DAB" w:rsidRDefault="006E7DAB" w:rsidP="00A512A1">
            <w:pPr>
              <w:rPr>
                <w:b/>
                <w:bCs/>
              </w:rPr>
            </w:pPr>
            <w:r w:rsidRPr="006E7DAB">
              <w:rPr>
                <w:b/>
                <w:bCs/>
              </w:rPr>
              <w:t>Month in Service</w:t>
            </w:r>
          </w:p>
        </w:tc>
        <w:tc>
          <w:tcPr>
            <w:tcW w:w="0" w:type="auto"/>
            <w:tcBorders>
              <w:bottom w:val="single" w:sz="4" w:space="0" w:color="auto"/>
            </w:tcBorders>
            <w:noWrap/>
            <w:hideMark/>
          </w:tcPr>
          <w:p w:rsidR="006E7DAB" w:rsidRPr="006E7DAB" w:rsidRDefault="006E7DAB" w:rsidP="00A512A1">
            <w:pPr>
              <w:rPr>
                <w:b/>
                <w:bCs/>
              </w:rPr>
            </w:pPr>
            <w:r w:rsidRPr="006E7DAB">
              <w:rPr>
                <w:b/>
                <w:bCs/>
              </w:rPr>
              <w:t>Funding Source</w:t>
            </w:r>
          </w:p>
        </w:tc>
        <w:tc>
          <w:tcPr>
            <w:tcW w:w="0" w:type="auto"/>
            <w:tcBorders>
              <w:bottom w:val="single" w:sz="4" w:space="0" w:color="auto"/>
            </w:tcBorders>
            <w:hideMark/>
          </w:tcPr>
          <w:p w:rsidR="006E7DAB" w:rsidRPr="006E7DAB" w:rsidRDefault="006E7DAB" w:rsidP="00A512A1">
            <w:pPr>
              <w:rPr>
                <w:b/>
                <w:bCs/>
              </w:rPr>
            </w:pPr>
            <w:r w:rsidRPr="006E7DAB">
              <w:rPr>
                <w:b/>
                <w:bCs/>
              </w:rPr>
              <w:t>Supplier</w:t>
            </w:r>
          </w:p>
        </w:tc>
        <w:tc>
          <w:tcPr>
            <w:tcW w:w="0" w:type="auto"/>
            <w:gridSpan w:val="2"/>
            <w:tcBorders>
              <w:bottom w:val="single" w:sz="4" w:space="0" w:color="auto"/>
            </w:tcBorders>
            <w:hideMark/>
          </w:tcPr>
          <w:p w:rsidR="006E7DAB" w:rsidRPr="006E7DAB" w:rsidRDefault="006E7DAB" w:rsidP="00A512A1">
            <w:pPr>
              <w:rPr>
                <w:b/>
                <w:bCs/>
              </w:rPr>
            </w:pPr>
            <w:r w:rsidRPr="006E7DAB">
              <w:rPr>
                <w:b/>
                <w:bCs/>
              </w:rPr>
              <w:t>Description</w:t>
            </w:r>
          </w:p>
        </w:tc>
        <w:tc>
          <w:tcPr>
            <w:tcW w:w="0" w:type="auto"/>
            <w:tcBorders>
              <w:bottom w:val="single" w:sz="4" w:space="0" w:color="auto"/>
            </w:tcBorders>
            <w:hideMark/>
          </w:tcPr>
          <w:p w:rsidR="006E7DAB" w:rsidRPr="006E7DAB" w:rsidRDefault="006E7DAB" w:rsidP="00A512A1">
            <w:pPr>
              <w:rPr>
                <w:b/>
                <w:bCs/>
              </w:rPr>
            </w:pPr>
            <w:r w:rsidRPr="006E7DAB">
              <w:rPr>
                <w:b/>
                <w:bCs/>
              </w:rPr>
              <w:t>Cost</w:t>
            </w:r>
          </w:p>
        </w:tc>
        <w:tc>
          <w:tcPr>
            <w:tcW w:w="0" w:type="auto"/>
            <w:hideMark/>
          </w:tcPr>
          <w:p w:rsidR="006E7DAB" w:rsidRPr="006E7DAB" w:rsidRDefault="006E7DAB" w:rsidP="00A512A1">
            <w:pPr>
              <w:rPr>
                <w:b/>
                <w:bCs/>
              </w:rPr>
            </w:pPr>
          </w:p>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May-17</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Agency</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 xml:space="preserve">Columbia County </w:t>
            </w:r>
          </w:p>
        </w:tc>
        <w:tc>
          <w:tcPr>
            <w:tcW w:w="0" w:type="auto"/>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2010 Ford Van</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A512A1" w:rsidP="00A512A1">
            <w:pPr>
              <w:jc w:val="right"/>
            </w:pPr>
            <w:r>
              <w:t xml:space="preserve"> $</w:t>
            </w:r>
            <w:r w:rsidR="006E7DAB" w:rsidRPr="006E7DAB">
              <w:t xml:space="preserve">5,995 </w:t>
            </w:r>
          </w:p>
        </w:tc>
        <w:tc>
          <w:tcPr>
            <w:tcW w:w="0" w:type="auto"/>
            <w:tcBorders>
              <w:left w:val="single" w:sz="4" w:space="0" w:color="auto"/>
            </w:tcBorders>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May-17</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Agency</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 xml:space="preserve">Central Dodge </w:t>
            </w:r>
          </w:p>
        </w:tc>
        <w:tc>
          <w:tcPr>
            <w:tcW w:w="0" w:type="auto"/>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2017 Dodge Caravan</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w:t>
            </w:r>
            <w:r w:rsidR="00A512A1">
              <w:t>$</w:t>
            </w:r>
            <w:r w:rsidRPr="006E7DAB">
              <w:t xml:space="preserve">21,427 </w:t>
            </w:r>
          </w:p>
        </w:tc>
        <w:tc>
          <w:tcPr>
            <w:tcW w:w="0" w:type="auto"/>
            <w:tcBorders>
              <w:left w:val="single" w:sz="4" w:space="0" w:color="auto"/>
            </w:tcBorders>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May-17</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Agency</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 xml:space="preserve">Henderson Ford </w:t>
            </w:r>
          </w:p>
        </w:tc>
        <w:tc>
          <w:tcPr>
            <w:tcW w:w="0" w:type="auto"/>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2017 Ford Taurus</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w:t>
            </w:r>
            <w:r w:rsidR="00A512A1">
              <w:t>$</w:t>
            </w:r>
            <w:r w:rsidRPr="006E7DAB">
              <w:t xml:space="preserve">21,625 </w:t>
            </w:r>
          </w:p>
        </w:tc>
        <w:tc>
          <w:tcPr>
            <w:tcW w:w="0" w:type="auto"/>
            <w:tcBorders>
              <w:left w:val="single" w:sz="4" w:space="0" w:color="auto"/>
            </w:tcBorders>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A512A1" w:rsidRDefault="006E7DAB" w:rsidP="00A512A1">
            <w:pPr>
              <w:jc w:val="right"/>
              <w:rPr>
                <w:b/>
              </w:rPr>
            </w:pPr>
            <w:r w:rsidRPr="00A512A1">
              <w:rPr>
                <w:b/>
              </w:rPr>
              <w:t>Total</w:t>
            </w:r>
          </w:p>
        </w:tc>
        <w:tc>
          <w:tcPr>
            <w:tcW w:w="0" w:type="auto"/>
            <w:tcBorders>
              <w:top w:val="single" w:sz="4" w:space="0" w:color="auto"/>
              <w:left w:val="single" w:sz="4" w:space="0" w:color="auto"/>
              <w:bottom w:val="single" w:sz="4" w:space="0" w:color="auto"/>
              <w:right w:val="single" w:sz="4" w:space="0" w:color="auto"/>
            </w:tcBorders>
            <w:hideMark/>
          </w:tcPr>
          <w:p w:rsidR="006E7DAB" w:rsidRPr="00A512A1" w:rsidRDefault="00A512A1" w:rsidP="00A512A1">
            <w:pPr>
              <w:jc w:val="right"/>
              <w:rPr>
                <w:b/>
              </w:rPr>
            </w:pPr>
            <w:r w:rsidRPr="00A512A1">
              <w:rPr>
                <w:b/>
              </w:rPr>
              <w:t xml:space="preserve"> $</w:t>
            </w:r>
            <w:r w:rsidR="006E7DAB" w:rsidRPr="00A512A1">
              <w:rPr>
                <w:b/>
              </w:rPr>
              <w:t xml:space="preserve">49,047 </w:t>
            </w:r>
          </w:p>
        </w:tc>
        <w:tc>
          <w:tcPr>
            <w:tcW w:w="0" w:type="auto"/>
            <w:tcBorders>
              <w:left w:val="single" w:sz="4" w:space="0" w:color="auto"/>
            </w:tcBorders>
            <w:hideMark/>
          </w:tcPr>
          <w:p w:rsidR="006E7DAB" w:rsidRPr="006E7DAB" w:rsidRDefault="006E7DAB" w:rsidP="00A512A1"/>
        </w:tc>
      </w:tr>
      <w:tr w:rsidR="00A512A1" w:rsidRPr="006E7DAB" w:rsidTr="00A512A1">
        <w:trPr>
          <w:trHeight w:val="300"/>
        </w:trPr>
        <w:tc>
          <w:tcPr>
            <w:tcW w:w="0" w:type="auto"/>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hideMark/>
          </w:tcPr>
          <w:p w:rsidR="006E7DAB" w:rsidRPr="006E7DAB" w:rsidRDefault="006E7DAB" w:rsidP="00A512A1"/>
        </w:tc>
      </w:tr>
      <w:tr w:rsidR="00A512A1" w:rsidRPr="006E7DAB" w:rsidTr="00A512A1">
        <w:trPr>
          <w:trHeight w:val="300"/>
        </w:trPr>
        <w:tc>
          <w:tcPr>
            <w:tcW w:w="0" w:type="auto"/>
            <w:hideMark/>
          </w:tcPr>
          <w:p w:rsidR="006E7DAB" w:rsidRPr="006E7DAB" w:rsidRDefault="006E7DAB" w:rsidP="00A512A1"/>
        </w:tc>
        <w:tc>
          <w:tcPr>
            <w:tcW w:w="0" w:type="auto"/>
            <w:tcBorders>
              <w:bottom w:val="single" w:sz="4" w:space="0" w:color="auto"/>
            </w:tcBorders>
            <w:hideMark/>
          </w:tcPr>
          <w:p w:rsidR="006E7DAB" w:rsidRPr="006E7DAB" w:rsidRDefault="006E7DAB" w:rsidP="00A512A1">
            <w:pPr>
              <w:rPr>
                <w:b/>
                <w:bCs/>
              </w:rPr>
            </w:pPr>
            <w:r w:rsidRPr="006E7DAB">
              <w:rPr>
                <w:b/>
                <w:bCs/>
              </w:rPr>
              <w:t>Sold in Month</w:t>
            </w:r>
          </w:p>
        </w:tc>
        <w:tc>
          <w:tcPr>
            <w:tcW w:w="0" w:type="auto"/>
            <w:tcBorders>
              <w:bottom w:val="single" w:sz="4" w:space="0" w:color="auto"/>
            </w:tcBorders>
            <w:hideMark/>
          </w:tcPr>
          <w:p w:rsidR="006E7DAB" w:rsidRPr="006E7DAB" w:rsidRDefault="006E7DAB" w:rsidP="00A512A1">
            <w:pPr>
              <w:rPr>
                <w:b/>
                <w:bCs/>
              </w:rPr>
            </w:pPr>
            <w:r w:rsidRPr="006E7DAB">
              <w:rPr>
                <w:b/>
                <w:bCs/>
              </w:rPr>
              <w:t>Sold thru</w:t>
            </w:r>
          </w:p>
        </w:tc>
        <w:tc>
          <w:tcPr>
            <w:tcW w:w="0" w:type="auto"/>
            <w:tcBorders>
              <w:bottom w:val="single" w:sz="4" w:space="0" w:color="auto"/>
            </w:tcBorders>
            <w:hideMark/>
          </w:tcPr>
          <w:p w:rsidR="006E7DAB" w:rsidRPr="006E7DAB" w:rsidRDefault="006E7DAB" w:rsidP="00A512A1">
            <w:pPr>
              <w:rPr>
                <w:b/>
                <w:bCs/>
              </w:rPr>
            </w:pPr>
            <w:r w:rsidRPr="006E7DAB">
              <w:rPr>
                <w:b/>
                <w:bCs/>
              </w:rPr>
              <w:t xml:space="preserve"> Mileage </w:t>
            </w:r>
          </w:p>
        </w:tc>
        <w:tc>
          <w:tcPr>
            <w:tcW w:w="0" w:type="auto"/>
            <w:gridSpan w:val="2"/>
            <w:tcBorders>
              <w:bottom w:val="single" w:sz="4" w:space="0" w:color="auto"/>
            </w:tcBorders>
            <w:hideMark/>
          </w:tcPr>
          <w:p w:rsidR="006E7DAB" w:rsidRPr="006E7DAB" w:rsidRDefault="006E7DAB" w:rsidP="00A512A1">
            <w:pPr>
              <w:rPr>
                <w:b/>
                <w:bCs/>
              </w:rPr>
            </w:pPr>
            <w:r w:rsidRPr="006E7DAB">
              <w:rPr>
                <w:b/>
                <w:bCs/>
              </w:rPr>
              <w:t>Description</w:t>
            </w:r>
          </w:p>
        </w:tc>
        <w:tc>
          <w:tcPr>
            <w:tcW w:w="0" w:type="auto"/>
            <w:tcBorders>
              <w:bottom w:val="single" w:sz="4" w:space="0" w:color="auto"/>
            </w:tcBorders>
            <w:hideMark/>
          </w:tcPr>
          <w:p w:rsidR="006E7DAB" w:rsidRPr="006E7DAB" w:rsidRDefault="006E7DAB" w:rsidP="00A512A1">
            <w:pPr>
              <w:rPr>
                <w:b/>
                <w:bCs/>
              </w:rPr>
            </w:pPr>
            <w:r w:rsidRPr="006E7DAB">
              <w:rPr>
                <w:b/>
                <w:bCs/>
              </w:rPr>
              <w:t xml:space="preserve"> Revenue </w:t>
            </w:r>
          </w:p>
        </w:tc>
        <w:tc>
          <w:tcPr>
            <w:tcW w:w="0" w:type="auto"/>
            <w:hideMark/>
          </w:tcPr>
          <w:p w:rsidR="006E7DAB" w:rsidRPr="006E7DAB" w:rsidRDefault="006E7DAB" w:rsidP="00A512A1">
            <w:pPr>
              <w:rPr>
                <w:b/>
                <w:bCs/>
              </w:rPr>
            </w:pPr>
          </w:p>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Jul-17</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Auctions International</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 xml:space="preserve"> 144.9K </w:t>
            </w:r>
          </w:p>
        </w:tc>
        <w:tc>
          <w:tcPr>
            <w:tcW w:w="0" w:type="auto"/>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 xml:space="preserve">2010 Chevy Impala </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w:t>
            </w:r>
            <w:r w:rsidR="00A512A1">
              <w:t>$</w:t>
            </w:r>
            <w:r w:rsidRPr="006E7DAB">
              <w:t xml:space="preserve">1,825 </w:t>
            </w:r>
          </w:p>
        </w:tc>
        <w:tc>
          <w:tcPr>
            <w:tcW w:w="0" w:type="auto"/>
            <w:tcBorders>
              <w:left w:val="single" w:sz="4" w:space="0" w:color="auto"/>
            </w:tcBorders>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Aug-17</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Auctions International</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 xml:space="preserve"> 158.3K </w:t>
            </w:r>
          </w:p>
        </w:tc>
        <w:tc>
          <w:tcPr>
            <w:tcW w:w="0" w:type="auto"/>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2010 Dodge Caravan</w:t>
            </w:r>
          </w:p>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w:t>
            </w:r>
            <w:r w:rsidR="00A512A1">
              <w:t>$</w:t>
            </w:r>
            <w:r w:rsidRPr="006E7DAB">
              <w:t xml:space="preserve">3,350 </w:t>
            </w:r>
          </w:p>
        </w:tc>
        <w:tc>
          <w:tcPr>
            <w:tcW w:w="0" w:type="auto"/>
            <w:tcBorders>
              <w:left w:val="single" w:sz="4" w:space="0" w:color="auto"/>
            </w:tcBorders>
            <w:hideMark/>
          </w:tcPr>
          <w:p w:rsidR="006E7DAB" w:rsidRPr="006E7DAB" w:rsidRDefault="006E7DAB" w:rsidP="00A512A1"/>
        </w:tc>
      </w:tr>
      <w:tr w:rsidR="00A512A1" w:rsidRPr="006E7DAB" w:rsidTr="00A512A1">
        <w:trPr>
          <w:trHeight w:val="300"/>
        </w:trPr>
        <w:tc>
          <w:tcPr>
            <w:tcW w:w="0" w:type="auto"/>
            <w:tcBorders>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0" w:type="auto"/>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0" w:type="auto"/>
            <w:tcBorders>
              <w:top w:val="single" w:sz="4" w:space="0" w:color="auto"/>
              <w:left w:val="single" w:sz="4" w:space="0" w:color="auto"/>
              <w:bottom w:val="single" w:sz="4" w:space="0" w:color="auto"/>
              <w:right w:val="single" w:sz="4" w:space="0" w:color="auto"/>
            </w:tcBorders>
            <w:hideMark/>
          </w:tcPr>
          <w:p w:rsidR="006E7DAB" w:rsidRPr="00A512A1" w:rsidRDefault="006E7DAB" w:rsidP="00A512A1">
            <w:pPr>
              <w:jc w:val="right"/>
              <w:rPr>
                <w:b/>
              </w:rPr>
            </w:pPr>
            <w:r w:rsidRPr="00A512A1">
              <w:rPr>
                <w:b/>
              </w:rPr>
              <w:t>Total</w:t>
            </w:r>
          </w:p>
        </w:tc>
        <w:tc>
          <w:tcPr>
            <w:tcW w:w="0" w:type="auto"/>
            <w:tcBorders>
              <w:top w:val="single" w:sz="4" w:space="0" w:color="auto"/>
              <w:left w:val="single" w:sz="4" w:space="0" w:color="auto"/>
              <w:bottom w:val="single" w:sz="4" w:space="0" w:color="auto"/>
              <w:right w:val="single" w:sz="4" w:space="0" w:color="auto"/>
            </w:tcBorders>
            <w:hideMark/>
          </w:tcPr>
          <w:p w:rsidR="006E7DAB" w:rsidRPr="00A512A1" w:rsidRDefault="00A512A1" w:rsidP="00A512A1">
            <w:pPr>
              <w:jc w:val="right"/>
              <w:rPr>
                <w:b/>
              </w:rPr>
            </w:pPr>
            <w:r w:rsidRPr="00A512A1">
              <w:rPr>
                <w:b/>
              </w:rPr>
              <w:t xml:space="preserve"> $</w:t>
            </w:r>
            <w:r w:rsidR="006E7DAB" w:rsidRPr="00A512A1">
              <w:rPr>
                <w:b/>
              </w:rPr>
              <w:t xml:space="preserve">5,175 </w:t>
            </w:r>
          </w:p>
        </w:tc>
        <w:tc>
          <w:tcPr>
            <w:tcW w:w="0" w:type="auto"/>
            <w:tcBorders>
              <w:left w:val="single" w:sz="4" w:space="0" w:color="auto"/>
            </w:tcBorders>
            <w:hideMark/>
          </w:tcPr>
          <w:p w:rsidR="006E7DAB" w:rsidRPr="00A512A1" w:rsidRDefault="006E7DAB" w:rsidP="00A512A1">
            <w:pPr>
              <w:rPr>
                <w:b/>
              </w:rPr>
            </w:pPr>
          </w:p>
        </w:tc>
      </w:tr>
      <w:tr w:rsidR="00A512A1" w:rsidRPr="006E7DAB" w:rsidTr="00A512A1">
        <w:trPr>
          <w:trHeight w:val="225"/>
        </w:trPr>
        <w:tc>
          <w:tcPr>
            <w:tcW w:w="0" w:type="auto"/>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tcBorders>
              <w:top w:val="single" w:sz="4" w:space="0" w:color="auto"/>
            </w:tcBorders>
            <w:hideMark/>
          </w:tcPr>
          <w:p w:rsidR="006E7DAB" w:rsidRPr="006E7DAB" w:rsidRDefault="006E7DAB" w:rsidP="00A512A1"/>
        </w:tc>
        <w:tc>
          <w:tcPr>
            <w:tcW w:w="0" w:type="auto"/>
            <w:hideMark/>
          </w:tcPr>
          <w:p w:rsidR="006E7DAB" w:rsidRPr="006E7DAB" w:rsidRDefault="006E7DAB" w:rsidP="00A512A1"/>
        </w:tc>
      </w:tr>
      <w:tr w:rsidR="006E7DAB" w:rsidRPr="006E7DAB" w:rsidTr="00A512A1">
        <w:trPr>
          <w:trHeight w:val="750"/>
        </w:trPr>
        <w:tc>
          <w:tcPr>
            <w:tcW w:w="0" w:type="auto"/>
            <w:gridSpan w:val="8"/>
            <w:hideMark/>
          </w:tcPr>
          <w:p w:rsidR="00A512A1" w:rsidRDefault="00A512A1" w:rsidP="00A512A1">
            <w:pPr>
              <w:rPr>
                <w:b/>
                <w:bCs/>
              </w:rPr>
            </w:pPr>
          </w:p>
          <w:p w:rsidR="006E7DAB" w:rsidRPr="006E7DAB" w:rsidRDefault="006E7DAB" w:rsidP="00A512A1">
            <w:r w:rsidRPr="006E7DAB">
              <w:rPr>
                <w:b/>
                <w:bCs/>
              </w:rPr>
              <w:t xml:space="preserve">Accounts Payable - </w:t>
            </w:r>
            <w:r w:rsidRPr="006E7DAB">
              <w:t xml:space="preserve">At October 31, 2017, accounts payable lability is $11,358 and all AP liability is being paid timely within 28 days except CSP Clinical Services which gets paid once NYS pays CCCHC. </w:t>
            </w:r>
          </w:p>
        </w:tc>
      </w:tr>
      <w:tr w:rsidR="00A512A1" w:rsidRPr="006E7DAB" w:rsidTr="00A512A1">
        <w:trPr>
          <w:trHeight w:val="315"/>
        </w:trPr>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r>
      <w:tr w:rsidR="006E7DAB" w:rsidRPr="006E7DAB" w:rsidTr="00A512A1">
        <w:trPr>
          <w:trHeight w:val="660"/>
        </w:trPr>
        <w:tc>
          <w:tcPr>
            <w:tcW w:w="0" w:type="auto"/>
            <w:gridSpan w:val="8"/>
            <w:hideMark/>
          </w:tcPr>
          <w:p w:rsidR="006E7DAB" w:rsidRPr="006E7DAB" w:rsidRDefault="006E7DAB" w:rsidP="00A512A1">
            <w:r w:rsidRPr="006E7DAB">
              <w:rPr>
                <w:b/>
                <w:bCs/>
              </w:rPr>
              <w:t>Line of Credit</w:t>
            </w:r>
            <w:r w:rsidRPr="006E7DAB">
              <w:t xml:space="preserve"> - Received notification from The Bank of Greene County. Bank renewed our $100,000 line for another twelve months until August 1, 2018.</w:t>
            </w:r>
          </w:p>
        </w:tc>
      </w:tr>
      <w:tr w:rsidR="00A512A1" w:rsidRPr="006E7DAB" w:rsidTr="00A512A1">
        <w:trPr>
          <w:trHeight w:val="315"/>
        </w:trPr>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c>
          <w:tcPr>
            <w:tcW w:w="0" w:type="auto"/>
            <w:hideMark/>
          </w:tcPr>
          <w:p w:rsidR="006E7DAB" w:rsidRPr="006E7DAB" w:rsidRDefault="006E7DAB" w:rsidP="00A512A1"/>
        </w:tc>
      </w:tr>
      <w:tr w:rsidR="006E7DAB" w:rsidRPr="006E7DAB" w:rsidTr="00A512A1">
        <w:trPr>
          <w:trHeight w:val="1950"/>
        </w:trPr>
        <w:tc>
          <w:tcPr>
            <w:tcW w:w="0" w:type="auto"/>
            <w:gridSpan w:val="8"/>
            <w:hideMark/>
          </w:tcPr>
          <w:p w:rsidR="006E7DAB" w:rsidRPr="006E7DAB" w:rsidRDefault="006E7DAB" w:rsidP="00A512A1">
            <w:r w:rsidRPr="006E7DAB">
              <w:rPr>
                <w:b/>
                <w:bCs/>
              </w:rPr>
              <w:t>Advance Funding Payable</w:t>
            </w:r>
            <w:r w:rsidRPr="006E7DAB">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October 31, 2017,</w:t>
            </w:r>
          </w:p>
        </w:tc>
      </w:tr>
    </w:tbl>
    <w:p w:rsidR="00A512A1" w:rsidRDefault="00A512A1">
      <w:r>
        <w:br w:type="page"/>
      </w:r>
    </w:p>
    <w:tbl>
      <w:tblPr>
        <w:tblStyle w:val="TableGrid"/>
        <w:tblW w:w="10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
        <w:gridCol w:w="1257"/>
        <w:gridCol w:w="1555"/>
        <w:gridCol w:w="1401"/>
        <w:gridCol w:w="1835"/>
        <w:gridCol w:w="2056"/>
        <w:gridCol w:w="1228"/>
        <w:gridCol w:w="1287"/>
      </w:tblGrid>
      <w:tr w:rsidR="00A512A1" w:rsidRPr="006E7DAB" w:rsidTr="00A512A1">
        <w:trPr>
          <w:trHeight w:val="945"/>
        </w:trPr>
        <w:tc>
          <w:tcPr>
            <w:tcW w:w="337" w:type="dxa"/>
            <w:hideMark/>
          </w:tcPr>
          <w:p w:rsidR="006E7DAB" w:rsidRPr="006E7DAB" w:rsidRDefault="006E7DAB" w:rsidP="00A512A1"/>
        </w:tc>
        <w:tc>
          <w:tcPr>
            <w:tcW w:w="2812" w:type="dxa"/>
            <w:gridSpan w:val="2"/>
            <w:hideMark/>
          </w:tcPr>
          <w:p w:rsidR="006E7DAB" w:rsidRPr="006E7DAB" w:rsidRDefault="006E7DAB" w:rsidP="00A512A1">
            <w:pPr>
              <w:rPr>
                <w:b/>
                <w:bCs/>
              </w:rPr>
            </w:pPr>
            <w:r w:rsidRPr="006E7DAB">
              <w:rPr>
                <w:b/>
                <w:bCs/>
              </w:rPr>
              <w:t>Fund Name</w:t>
            </w:r>
          </w:p>
        </w:tc>
        <w:tc>
          <w:tcPr>
            <w:tcW w:w="1401" w:type="dxa"/>
            <w:hideMark/>
          </w:tcPr>
          <w:p w:rsidR="006E7DAB" w:rsidRPr="006E7DAB" w:rsidRDefault="006E7DAB" w:rsidP="00A512A1">
            <w:pPr>
              <w:rPr>
                <w:b/>
                <w:bCs/>
              </w:rPr>
            </w:pPr>
            <w:r w:rsidRPr="006E7DAB">
              <w:rPr>
                <w:b/>
                <w:bCs/>
              </w:rPr>
              <w:t xml:space="preserve">Beginning Balance at January 1st </w:t>
            </w:r>
          </w:p>
        </w:tc>
        <w:tc>
          <w:tcPr>
            <w:tcW w:w="1835" w:type="dxa"/>
            <w:hideMark/>
          </w:tcPr>
          <w:p w:rsidR="006E7DAB" w:rsidRPr="006E7DAB" w:rsidRDefault="006E7DAB" w:rsidP="00A512A1">
            <w:pPr>
              <w:rPr>
                <w:b/>
                <w:bCs/>
              </w:rPr>
            </w:pPr>
            <w:r w:rsidRPr="006E7DAB">
              <w:rPr>
                <w:b/>
                <w:bCs/>
              </w:rPr>
              <w:t>+ Contributions</w:t>
            </w:r>
          </w:p>
        </w:tc>
        <w:tc>
          <w:tcPr>
            <w:tcW w:w="2056" w:type="dxa"/>
            <w:hideMark/>
          </w:tcPr>
          <w:p w:rsidR="006E7DAB" w:rsidRPr="006E7DAB" w:rsidRDefault="006E7DAB" w:rsidP="00A512A1">
            <w:pPr>
              <w:rPr>
                <w:b/>
                <w:bCs/>
              </w:rPr>
            </w:pPr>
            <w:r w:rsidRPr="006E7DAB">
              <w:rPr>
                <w:b/>
                <w:bCs/>
              </w:rPr>
              <w:t>&lt;Distributions&gt;</w:t>
            </w:r>
          </w:p>
        </w:tc>
        <w:tc>
          <w:tcPr>
            <w:tcW w:w="1228" w:type="dxa"/>
            <w:hideMark/>
          </w:tcPr>
          <w:p w:rsidR="006E7DAB" w:rsidRPr="006E7DAB" w:rsidRDefault="006E7DAB" w:rsidP="00A512A1">
            <w:pPr>
              <w:rPr>
                <w:b/>
                <w:bCs/>
              </w:rPr>
            </w:pPr>
            <w:r w:rsidRPr="006E7DAB">
              <w:rPr>
                <w:b/>
                <w:bCs/>
              </w:rPr>
              <w:t>Ending Balance at October 31, 2017</w:t>
            </w:r>
          </w:p>
        </w:tc>
        <w:tc>
          <w:tcPr>
            <w:tcW w:w="1287" w:type="dxa"/>
            <w:hideMark/>
          </w:tcPr>
          <w:p w:rsidR="006E7DAB" w:rsidRPr="006E7DAB" w:rsidRDefault="006E7DAB" w:rsidP="00A512A1">
            <w:pPr>
              <w:rPr>
                <w:b/>
                <w:bCs/>
              </w:rPr>
            </w:pPr>
          </w:p>
        </w:tc>
      </w:tr>
      <w:tr w:rsidR="00A512A1" w:rsidRPr="006E7DAB" w:rsidTr="00A512A1">
        <w:trPr>
          <w:trHeight w:val="315"/>
        </w:trPr>
        <w:tc>
          <w:tcPr>
            <w:tcW w:w="337" w:type="dxa"/>
            <w:hideMark/>
          </w:tcPr>
          <w:p w:rsidR="006E7DAB" w:rsidRPr="006E7DAB" w:rsidRDefault="006E7DAB" w:rsidP="00A512A1"/>
        </w:tc>
        <w:tc>
          <w:tcPr>
            <w:tcW w:w="4213" w:type="dxa"/>
            <w:gridSpan w:val="3"/>
            <w:tcBorders>
              <w:bottom w:val="single" w:sz="4" w:space="0" w:color="auto"/>
            </w:tcBorders>
            <w:hideMark/>
          </w:tcPr>
          <w:p w:rsidR="006E7DAB" w:rsidRPr="006E7DAB" w:rsidRDefault="006E7DAB" w:rsidP="00A512A1">
            <w:pPr>
              <w:rPr>
                <w:b/>
                <w:bCs/>
              </w:rPr>
            </w:pPr>
            <w:r w:rsidRPr="006E7DAB">
              <w:rPr>
                <w:b/>
                <w:bCs/>
              </w:rPr>
              <w:t>Foundation for Community Health</w:t>
            </w:r>
          </w:p>
        </w:tc>
        <w:tc>
          <w:tcPr>
            <w:tcW w:w="1835" w:type="dxa"/>
            <w:tcBorders>
              <w:bottom w:val="single" w:sz="4" w:space="0" w:color="auto"/>
            </w:tcBorders>
            <w:hideMark/>
          </w:tcPr>
          <w:p w:rsidR="006E7DAB" w:rsidRPr="006E7DAB" w:rsidRDefault="006E7DAB" w:rsidP="00A512A1">
            <w:pPr>
              <w:rPr>
                <w:b/>
                <w:bCs/>
              </w:rPr>
            </w:pPr>
          </w:p>
        </w:tc>
        <w:tc>
          <w:tcPr>
            <w:tcW w:w="2056" w:type="dxa"/>
            <w:tcBorders>
              <w:bottom w:val="single" w:sz="4" w:space="0" w:color="auto"/>
            </w:tcBorders>
            <w:hideMark/>
          </w:tcPr>
          <w:p w:rsidR="006E7DAB" w:rsidRPr="006E7DAB" w:rsidRDefault="006E7DAB" w:rsidP="00A512A1"/>
        </w:tc>
        <w:tc>
          <w:tcPr>
            <w:tcW w:w="1228" w:type="dxa"/>
            <w:tcBorders>
              <w:bottom w:val="single" w:sz="4" w:space="0" w:color="auto"/>
            </w:tcBorders>
            <w:hideMark/>
          </w:tcPr>
          <w:p w:rsidR="006E7DAB" w:rsidRPr="006E7DAB" w:rsidRDefault="006E7DAB" w:rsidP="00A512A1"/>
        </w:tc>
        <w:tc>
          <w:tcPr>
            <w:tcW w:w="1287" w:type="dxa"/>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Prescription Rx Access</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12,113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(2,707)</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9,406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Transportation: Acram/Copake</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25,000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(20,232)</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4,768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Children's Mental Health Project</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1,746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(1,746)</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rPr>
                <w:b/>
                <w:bCs/>
              </w:rPr>
            </w:pPr>
            <w:r w:rsidRPr="006E7DAB">
              <w:rPr>
                <w:b/>
                <w:bCs/>
              </w:rPr>
              <w:t>Dyson Foundation</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rPr>
                <w:b/>
                <w:bCs/>
              </w:rPr>
            </w:pP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Prescription Rx Access</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22,000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(14,603)</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7,397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rPr>
                <w:b/>
                <w:bCs/>
              </w:rPr>
            </w:pPr>
            <w:r w:rsidRPr="006E7DAB">
              <w:rPr>
                <w:b/>
                <w:bCs/>
              </w:rPr>
              <w:t>NYS Grant Advances</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rPr>
                <w:b/>
                <w:bCs/>
              </w:rPr>
            </w:pP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Cancer Services Program</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7,610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22,451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(21,641)</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8,421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Tobacco Free Program</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43,704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79,750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(68,937)</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54,517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Health &amp; Recovery Plan (HCBS - HARP)</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49,850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(49,850)</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rPr>
                <w:b/>
                <w:bCs/>
              </w:rPr>
            </w:pPr>
            <w:r w:rsidRPr="006E7DAB">
              <w:rPr>
                <w:b/>
                <w:bCs/>
              </w:rPr>
              <w:t>Total Advance Funding Payable</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$115,023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$149,201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(179,715)</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A512A1" w:rsidP="00A512A1">
            <w:pPr>
              <w:jc w:val="right"/>
            </w:pPr>
            <w:r>
              <w:t xml:space="preserve"> $</w:t>
            </w:r>
            <w:r w:rsidR="006E7DAB" w:rsidRPr="006E7DAB">
              <w:t xml:space="preserve">84,509 </w:t>
            </w:r>
          </w:p>
        </w:tc>
        <w:tc>
          <w:tcPr>
            <w:tcW w:w="1287" w:type="dxa"/>
            <w:tcBorders>
              <w:left w:val="single" w:sz="4" w:space="0" w:color="auto"/>
            </w:tcBorders>
            <w:hideMark/>
          </w:tcPr>
          <w:p w:rsidR="006E7DAB" w:rsidRPr="006E7DAB" w:rsidRDefault="006E7DAB" w:rsidP="00A512A1"/>
        </w:tc>
      </w:tr>
      <w:tr w:rsidR="00A512A1" w:rsidRPr="006E7DAB" w:rsidTr="00A512A1">
        <w:trPr>
          <w:trHeight w:val="225"/>
        </w:trPr>
        <w:tc>
          <w:tcPr>
            <w:tcW w:w="337" w:type="dxa"/>
            <w:hideMark/>
          </w:tcPr>
          <w:p w:rsidR="006E7DAB" w:rsidRPr="006E7DAB" w:rsidRDefault="006E7DAB" w:rsidP="00A512A1"/>
        </w:tc>
        <w:tc>
          <w:tcPr>
            <w:tcW w:w="1257" w:type="dxa"/>
            <w:tcBorders>
              <w:top w:val="single" w:sz="4" w:space="0" w:color="auto"/>
            </w:tcBorders>
            <w:hideMark/>
          </w:tcPr>
          <w:p w:rsidR="006E7DAB" w:rsidRPr="006E7DAB" w:rsidRDefault="006E7DAB" w:rsidP="00A512A1"/>
        </w:tc>
        <w:tc>
          <w:tcPr>
            <w:tcW w:w="1555" w:type="dxa"/>
            <w:tcBorders>
              <w:top w:val="single" w:sz="4" w:space="0" w:color="auto"/>
            </w:tcBorders>
            <w:hideMark/>
          </w:tcPr>
          <w:p w:rsidR="006E7DAB" w:rsidRPr="006E7DAB" w:rsidRDefault="006E7DAB" w:rsidP="00A512A1"/>
        </w:tc>
        <w:tc>
          <w:tcPr>
            <w:tcW w:w="1401" w:type="dxa"/>
            <w:tcBorders>
              <w:top w:val="single" w:sz="4" w:space="0" w:color="auto"/>
            </w:tcBorders>
            <w:hideMark/>
          </w:tcPr>
          <w:p w:rsidR="006E7DAB" w:rsidRPr="006E7DAB" w:rsidRDefault="006E7DAB" w:rsidP="00A512A1"/>
        </w:tc>
        <w:tc>
          <w:tcPr>
            <w:tcW w:w="1835" w:type="dxa"/>
            <w:tcBorders>
              <w:top w:val="single" w:sz="4" w:space="0" w:color="auto"/>
            </w:tcBorders>
            <w:hideMark/>
          </w:tcPr>
          <w:p w:rsidR="006E7DAB" w:rsidRPr="006E7DAB" w:rsidRDefault="006E7DAB" w:rsidP="00A512A1"/>
        </w:tc>
        <w:tc>
          <w:tcPr>
            <w:tcW w:w="2056" w:type="dxa"/>
            <w:tcBorders>
              <w:top w:val="single" w:sz="4" w:space="0" w:color="auto"/>
            </w:tcBorders>
            <w:hideMark/>
          </w:tcPr>
          <w:p w:rsidR="006E7DAB" w:rsidRPr="006E7DAB" w:rsidRDefault="006E7DAB" w:rsidP="00A512A1"/>
        </w:tc>
        <w:tc>
          <w:tcPr>
            <w:tcW w:w="1228" w:type="dxa"/>
            <w:tcBorders>
              <w:top w:val="single" w:sz="4" w:space="0" w:color="auto"/>
            </w:tcBorders>
            <w:hideMark/>
          </w:tcPr>
          <w:p w:rsidR="006E7DAB" w:rsidRPr="006E7DAB" w:rsidRDefault="006E7DAB" w:rsidP="00A512A1"/>
        </w:tc>
        <w:tc>
          <w:tcPr>
            <w:tcW w:w="1287" w:type="dxa"/>
            <w:hideMark/>
          </w:tcPr>
          <w:p w:rsidR="006E7DAB" w:rsidRPr="006E7DAB" w:rsidRDefault="006E7DAB" w:rsidP="00A512A1"/>
        </w:tc>
      </w:tr>
      <w:tr w:rsidR="006E7DAB" w:rsidRPr="006E7DAB" w:rsidTr="00A512A1">
        <w:trPr>
          <w:trHeight w:val="1350"/>
        </w:trPr>
        <w:tc>
          <w:tcPr>
            <w:tcW w:w="10956" w:type="dxa"/>
            <w:gridSpan w:val="8"/>
            <w:hideMark/>
          </w:tcPr>
          <w:p w:rsidR="006E7DAB" w:rsidRPr="006E7DAB" w:rsidRDefault="006E7DAB" w:rsidP="00A512A1">
            <w:r w:rsidRPr="006E7DAB">
              <w:rPr>
                <w:b/>
                <w:bCs/>
              </w:rPr>
              <w:t>Temporary Restricted Funds</w:t>
            </w:r>
            <w:r w:rsidRPr="006E7DAB">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October 31, 2017: </w:t>
            </w:r>
          </w:p>
        </w:tc>
      </w:tr>
      <w:tr w:rsidR="00A512A1" w:rsidRPr="006E7DAB" w:rsidTr="00A512A1">
        <w:trPr>
          <w:trHeight w:val="945"/>
        </w:trPr>
        <w:tc>
          <w:tcPr>
            <w:tcW w:w="337" w:type="dxa"/>
            <w:hideMark/>
          </w:tcPr>
          <w:p w:rsidR="006E7DAB" w:rsidRPr="006E7DAB" w:rsidRDefault="006E7DAB" w:rsidP="00A512A1"/>
        </w:tc>
        <w:tc>
          <w:tcPr>
            <w:tcW w:w="2812" w:type="dxa"/>
            <w:gridSpan w:val="2"/>
            <w:tcBorders>
              <w:bottom w:val="single" w:sz="4" w:space="0" w:color="auto"/>
            </w:tcBorders>
            <w:hideMark/>
          </w:tcPr>
          <w:p w:rsidR="006E7DAB" w:rsidRPr="006E7DAB" w:rsidRDefault="006E7DAB" w:rsidP="00A512A1">
            <w:pPr>
              <w:rPr>
                <w:b/>
                <w:bCs/>
              </w:rPr>
            </w:pPr>
            <w:r w:rsidRPr="006E7DAB">
              <w:rPr>
                <w:b/>
                <w:bCs/>
              </w:rPr>
              <w:t>Fund Name</w:t>
            </w:r>
          </w:p>
        </w:tc>
        <w:tc>
          <w:tcPr>
            <w:tcW w:w="1401" w:type="dxa"/>
            <w:tcBorders>
              <w:bottom w:val="single" w:sz="4" w:space="0" w:color="auto"/>
            </w:tcBorders>
            <w:hideMark/>
          </w:tcPr>
          <w:p w:rsidR="006E7DAB" w:rsidRPr="006E7DAB" w:rsidRDefault="006E7DAB" w:rsidP="00A512A1">
            <w:pPr>
              <w:rPr>
                <w:b/>
                <w:bCs/>
              </w:rPr>
            </w:pPr>
            <w:r w:rsidRPr="006E7DAB">
              <w:rPr>
                <w:b/>
                <w:bCs/>
              </w:rPr>
              <w:t xml:space="preserve">Beginning Balance at January 1st </w:t>
            </w:r>
          </w:p>
        </w:tc>
        <w:tc>
          <w:tcPr>
            <w:tcW w:w="1835" w:type="dxa"/>
            <w:tcBorders>
              <w:bottom w:val="single" w:sz="4" w:space="0" w:color="auto"/>
            </w:tcBorders>
            <w:hideMark/>
          </w:tcPr>
          <w:p w:rsidR="006E7DAB" w:rsidRPr="006E7DAB" w:rsidRDefault="006E7DAB" w:rsidP="00A512A1">
            <w:pPr>
              <w:rPr>
                <w:b/>
                <w:bCs/>
              </w:rPr>
            </w:pPr>
            <w:r w:rsidRPr="006E7DAB">
              <w:rPr>
                <w:b/>
                <w:bCs/>
              </w:rPr>
              <w:t>+ Contributions</w:t>
            </w:r>
          </w:p>
        </w:tc>
        <w:tc>
          <w:tcPr>
            <w:tcW w:w="2056" w:type="dxa"/>
            <w:tcBorders>
              <w:bottom w:val="single" w:sz="4" w:space="0" w:color="auto"/>
            </w:tcBorders>
            <w:hideMark/>
          </w:tcPr>
          <w:p w:rsidR="006E7DAB" w:rsidRPr="006E7DAB" w:rsidRDefault="006E7DAB" w:rsidP="00A512A1">
            <w:pPr>
              <w:rPr>
                <w:b/>
                <w:bCs/>
              </w:rPr>
            </w:pPr>
            <w:r w:rsidRPr="006E7DAB">
              <w:rPr>
                <w:b/>
                <w:bCs/>
              </w:rPr>
              <w:t>&lt;Distributions&gt;</w:t>
            </w:r>
          </w:p>
        </w:tc>
        <w:tc>
          <w:tcPr>
            <w:tcW w:w="1228" w:type="dxa"/>
            <w:tcBorders>
              <w:bottom w:val="single" w:sz="4" w:space="0" w:color="auto"/>
            </w:tcBorders>
            <w:hideMark/>
          </w:tcPr>
          <w:p w:rsidR="006E7DAB" w:rsidRPr="006E7DAB" w:rsidRDefault="006E7DAB" w:rsidP="00A512A1">
            <w:pPr>
              <w:rPr>
                <w:b/>
                <w:bCs/>
              </w:rPr>
            </w:pPr>
            <w:r w:rsidRPr="006E7DAB">
              <w:rPr>
                <w:b/>
                <w:bCs/>
              </w:rPr>
              <w:t>Ending Balance at October 31, 2017</w:t>
            </w:r>
          </w:p>
        </w:tc>
        <w:tc>
          <w:tcPr>
            <w:tcW w:w="1287" w:type="dxa"/>
            <w:hideMark/>
          </w:tcPr>
          <w:p w:rsidR="006E7DAB" w:rsidRPr="006E7DAB" w:rsidRDefault="006E7DAB" w:rsidP="00A512A1">
            <w:pPr>
              <w:rPr>
                <w:b/>
                <w:bCs/>
              </w:rPr>
            </w:pPr>
          </w:p>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Columbia County -CARTS &amp; Receptionist</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49,000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(40,833)</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8,167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Columbia County Depts.-CARTS</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19,000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(15,833)</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3,167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Columbia County Cancer Fund</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17,438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8,238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(10,109)</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15,566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tcPr>
          <w:p w:rsidR="00A512A1" w:rsidRPr="006E7DAB" w:rsidRDefault="00A512A1" w:rsidP="00A512A1"/>
        </w:tc>
        <w:tc>
          <w:tcPr>
            <w:tcW w:w="2812" w:type="dxa"/>
            <w:gridSpan w:val="2"/>
            <w:tcBorders>
              <w:top w:val="single" w:sz="4" w:space="0" w:color="auto"/>
              <w:left w:val="single" w:sz="4" w:space="0" w:color="auto"/>
              <w:bottom w:val="single" w:sz="4" w:space="0" w:color="auto"/>
              <w:right w:val="single" w:sz="4" w:space="0" w:color="auto"/>
            </w:tcBorders>
          </w:tcPr>
          <w:p w:rsidR="00A512A1" w:rsidRPr="006E7DAB" w:rsidRDefault="00A512A1" w:rsidP="00A512A1"/>
        </w:tc>
        <w:tc>
          <w:tcPr>
            <w:tcW w:w="1401" w:type="dxa"/>
            <w:tcBorders>
              <w:top w:val="single" w:sz="4" w:space="0" w:color="auto"/>
              <w:left w:val="single" w:sz="4" w:space="0" w:color="auto"/>
              <w:bottom w:val="single" w:sz="4" w:space="0" w:color="auto"/>
              <w:right w:val="single" w:sz="4" w:space="0" w:color="auto"/>
            </w:tcBorders>
          </w:tcPr>
          <w:p w:rsidR="00A512A1" w:rsidRPr="006E7DAB" w:rsidRDefault="00A512A1" w:rsidP="00A512A1">
            <w:pPr>
              <w:jc w:val="right"/>
            </w:pPr>
          </w:p>
        </w:tc>
        <w:tc>
          <w:tcPr>
            <w:tcW w:w="1835" w:type="dxa"/>
            <w:tcBorders>
              <w:top w:val="single" w:sz="4" w:space="0" w:color="auto"/>
              <w:left w:val="single" w:sz="4" w:space="0" w:color="auto"/>
              <w:bottom w:val="single" w:sz="4" w:space="0" w:color="auto"/>
              <w:right w:val="single" w:sz="4" w:space="0" w:color="auto"/>
            </w:tcBorders>
          </w:tcPr>
          <w:p w:rsidR="00A512A1" w:rsidRPr="006E7DAB" w:rsidRDefault="00A512A1" w:rsidP="00A512A1">
            <w:pPr>
              <w:jc w:val="right"/>
            </w:pPr>
          </w:p>
        </w:tc>
        <w:tc>
          <w:tcPr>
            <w:tcW w:w="2056" w:type="dxa"/>
            <w:tcBorders>
              <w:top w:val="single" w:sz="4" w:space="0" w:color="auto"/>
              <w:left w:val="single" w:sz="4" w:space="0" w:color="auto"/>
              <w:bottom w:val="single" w:sz="4" w:space="0" w:color="auto"/>
              <w:right w:val="single" w:sz="4" w:space="0" w:color="auto"/>
            </w:tcBorders>
          </w:tcPr>
          <w:p w:rsidR="00A512A1" w:rsidRPr="006E7DAB" w:rsidRDefault="00A512A1" w:rsidP="00A512A1">
            <w:pPr>
              <w:jc w:val="right"/>
            </w:pPr>
          </w:p>
        </w:tc>
        <w:tc>
          <w:tcPr>
            <w:tcW w:w="1228" w:type="dxa"/>
            <w:tcBorders>
              <w:top w:val="single" w:sz="4" w:space="0" w:color="auto"/>
              <w:left w:val="single" w:sz="4" w:space="0" w:color="auto"/>
              <w:bottom w:val="single" w:sz="4" w:space="0" w:color="auto"/>
              <w:right w:val="single" w:sz="4" w:space="0" w:color="auto"/>
            </w:tcBorders>
          </w:tcPr>
          <w:p w:rsidR="00A512A1" w:rsidRPr="006E7DAB" w:rsidRDefault="00A512A1" w:rsidP="00A512A1">
            <w:pPr>
              <w:jc w:val="right"/>
            </w:pPr>
          </w:p>
        </w:tc>
        <w:tc>
          <w:tcPr>
            <w:tcW w:w="1287" w:type="dxa"/>
            <w:tcBorders>
              <w:left w:val="single" w:sz="4" w:space="0" w:color="auto"/>
            </w:tcBorders>
          </w:tcPr>
          <w:p w:rsidR="00A512A1" w:rsidRPr="006E7DAB" w:rsidRDefault="00A512A1"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Greene County Cancer Fund</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8,261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6,794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(4,561)</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10,494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Complementary Therapies</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5,855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(470)</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5,385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Jan Koweek Fund</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1,101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1,101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                            - </w:t>
            </w:r>
          </w:p>
        </w:tc>
        <w:tc>
          <w:tcPr>
            <w:tcW w:w="1287" w:type="dxa"/>
            <w:tcBorders>
              <w:left w:val="single" w:sz="4" w:space="0" w:color="auto"/>
            </w:tcBorders>
            <w:hideMark/>
          </w:tcPr>
          <w:p w:rsidR="006E7DAB" w:rsidRPr="006E7DAB" w:rsidRDefault="006E7DAB" w:rsidP="00A512A1"/>
        </w:tc>
      </w:tr>
      <w:tr w:rsidR="00A512A1" w:rsidRPr="006E7DAB" w:rsidTr="00A512A1">
        <w:trPr>
          <w:trHeight w:val="315"/>
        </w:trPr>
        <w:tc>
          <w:tcPr>
            <w:tcW w:w="337" w:type="dxa"/>
            <w:tcBorders>
              <w:right w:val="single" w:sz="4" w:space="0" w:color="auto"/>
            </w:tcBorders>
            <w:hideMark/>
          </w:tcPr>
          <w:p w:rsidR="006E7DAB" w:rsidRPr="006E7DAB" w:rsidRDefault="006E7DAB" w:rsidP="00A512A1"/>
        </w:tc>
        <w:tc>
          <w:tcPr>
            <w:tcW w:w="2812" w:type="dxa"/>
            <w:gridSpan w:val="2"/>
            <w:tcBorders>
              <w:top w:val="single" w:sz="4" w:space="0" w:color="auto"/>
              <w:left w:val="single" w:sz="4" w:space="0" w:color="auto"/>
              <w:bottom w:val="single" w:sz="4" w:space="0" w:color="auto"/>
              <w:right w:val="single" w:sz="4" w:space="0" w:color="auto"/>
            </w:tcBorders>
            <w:hideMark/>
          </w:tcPr>
          <w:p w:rsidR="006E7DAB" w:rsidRPr="006E7DAB" w:rsidRDefault="006E7DAB" w:rsidP="00A512A1">
            <w:r w:rsidRPr="006E7DAB">
              <w:t>Totals of Temporary Restricted Funds</w:t>
            </w:r>
          </w:p>
        </w:tc>
        <w:tc>
          <w:tcPr>
            <w:tcW w:w="1401" w:type="dxa"/>
            <w:tcBorders>
              <w:top w:val="single" w:sz="4" w:space="0" w:color="auto"/>
              <w:left w:val="single" w:sz="4" w:space="0" w:color="auto"/>
              <w:bottom w:val="single" w:sz="4" w:space="0" w:color="auto"/>
              <w:right w:val="single" w:sz="4" w:space="0" w:color="auto"/>
            </w:tcBorders>
            <w:hideMark/>
          </w:tcPr>
          <w:p w:rsidR="006E7DAB" w:rsidRPr="006E7DAB" w:rsidRDefault="006E7DAB" w:rsidP="00A512A1">
            <w:pPr>
              <w:jc w:val="right"/>
            </w:pPr>
            <w:r w:rsidRPr="006E7DAB">
              <w:t xml:space="preserve">$32,654 </w:t>
            </w:r>
          </w:p>
        </w:tc>
        <w:tc>
          <w:tcPr>
            <w:tcW w:w="1835" w:type="dxa"/>
            <w:tcBorders>
              <w:top w:val="single" w:sz="4" w:space="0" w:color="auto"/>
              <w:left w:val="single" w:sz="4" w:space="0" w:color="auto"/>
              <w:bottom w:val="single" w:sz="4" w:space="0" w:color="auto"/>
              <w:right w:val="single" w:sz="4" w:space="0" w:color="auto"/>
            </w:tcBorders>
            <w:hideMark/>
          </w:tcPr>
          <w:p w:rsidR="006E7DAB" w:rsidRPr="006E7DAB" w:rsidRDefault="00A512A1" w:rsidP="00A512A1">
            <w:pPr>
              <w:jc w:val="right"/>
            </w:pPr>
            <w:r>
              <w:t>$</w:t>
            </w:r>
            <w:r w:rsidR="006E7DAB" w:rsidRPr="006E7DAB">
              <w:t xml:space="preserve">83,032 </w:t>
            </w:r>
          </w:p>
        </w:tc>
        <w:tc>
          <w:tcPr>
            <w:tcW w:w="2056" w:type="dxa"/>
            <w:tcBorders>
              <w:top w:val="single" w:sz="4" w:space="0" w:color="auto"/>
              <w:left w:val="single" w:sz="4" w:space="0" w:color="auto"/>
              <w:bottom w:val="single" w:sz="4" w:space="0" w:color="auto"/>
              <w:right w:val="single" w:sz="4" w:space="0" w:color="auto"/>
            </w:tcBorders>
            <w:hideMark/>
          </w:tcPr>
          <w:p w:rsidR="006E7DAB" w:rsidRPr="006E7DAB" w:rsidRDefault="00A512A1" w:rsidP="00A512A1">
            <w:pPr>
              <w:jc w:val="right"/>
            </w:pPr>
            <w:r>
              <w:t xml:space="preserve"> $</w:t>
            </w:r>
            <w:r w:rsidR="006E7DAB" w:rsidRPr="006E7DAB">
              <w:t>(71,807)</w:t>
            </w:r>
          </w:p>
        </w:tc>
        <w:tc>
          <w:tcPr>
            <w:tcW w:w="1228" w:type="dxa"/>
            <w:tcBorders>
              <w:top w:val="single" w:sz="4" w:space="0" w:color="auto"/>
              <w:left w:val="single" w:sz="4" w:space="0" w:color="auto"/>
              <w:bottom w:val="single" w:sz="4" w:space="0" w:color="auto"/>
              <w:right w:val="single" w:sz="4" w:space="0" w:color="auto"/>
            </w:tcBorders>
            <w:hideMark/>
          </w:tcPr>
          <w:p w:rsidR="006E7DAB" w:rsidRPr="006E7DAB" w:rsidRDefault="00A512A1" w:rsidP="00A512A1">
            <w:pPr>
              <w:jc w:val="right"/>
            </w:pPr>
            <w:r>
              <w:t>$</w:t>
            </w:r>
            <w:r w:rsidR="006E7DAB" w:rsidRPr="006E7DAB">
              <w:t xml:space="preserve">43,879 </w:t>
            </w:r>
          </w:p>
        </w:tc>
        <w:tc>
          <w:tcPr>
            <w:tcW w:w="1287" w:type="dxa"/>
            <w:tcBorders>
              <w:left w:val="single" w:sz="4" w:space="0" w:color="auto"/>
            </w:tcBorders>
            <w:hideMark/>
          </w:tcPr>
          <w:p w:rsidR="006E7DAB" w:rsidRPr="006E7DAB" w:rsidRDefault="006E7DAB" w:rsidP="00A512A1"/>
        </w:tc>
      </w:tr>
    </w:tbl>
    <w:p w:rsidR="00385B16" w:rsidRPr="00990131" w:rsidRDefault="00385B16" w:rsidP="00A512A1"/>
    <w:sectPr w:rsidR="00385B16" w:rsidRPr="00990131" w:rsidSect="00151D8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78" w:rsidRDefault="008D1778" w:rsidP="00A96EC7">
      <w:r>
        <w:separator/>
      </w:r>
    </w:p>
  </w:endnote>
  <w:endnote w:type="continuationSeparator" w:id="0">
    <w:p w:rsidR="008D1778" w:rsidRDefault="008D1778"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78" w:rsidRDefault="008D1778" w:rsidP="00A96EC7">
      <w:r>
        <w:separator/>
      </w:r>
    </w:p>
  </w:footnote>
  <w:footnote w:type="continuationSeparator" w:id="0">
    <w:p w:rsidR="008D1778" w:rsidRDefault="008D1778"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1"/>
  </w:num>
  <w:num w:numId="7">
    <w:abstractNumId w:val="7"/>
  </w:num>
  <w:num w:numId="8">
    <w:abstractNumId w:val="6"/>
  </w:num>
  <w:num w:numId="9">
    <w:abstractNumId w:val="18"/>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1"/>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9460C"/>
    <w:rsid w:val="00097F59"/>
    <w:rsid w:val="000A2D35"/>
    <w:rsid w:val="000B6DD7"/>
    <w:rsid w:val="000F0E3D"/>
    <w:rsid w:val="001274CB"/>
    <w:rsid w:val="00132B0A"/>
    <w:rsid w:val="001369A6"/>
    <w:rsid w:val="001515B8"/>
    <w:rsid w:val="00151D8B"/>
    <w:rsid w:val="001911CB"/>
    <w:rsid w:val="001A7704"/>
    <w:rsid w:val="001D6095"/>
    <w:rsid w:val="001E0050"/>
    <w:rsid w:val="001F64E2"/>
    <w:rsid w:val="002061BD"/>
    <w:rsid w:val="00207444"/>
    <w:rsid w:val="00210C29"/>
    <w:rsid w:val="00212943"/>
    <w:rsid w:val="00222A6E"/>
    <w:rsid w:val="002413F8"/>
    <w:rsid w:val="00247C27"/>
    <w:rsid w:val="00252DCF"/>
    <w:rsid w:val="002901B2"/>
    <w:rsid w:val="002A5029"/>
    <w:rsid w:val="002A5131"/>
    <w:rsid w:val="002B263C"/>
    <w:rsid w:val="002B6DEC"/>
    <w:rsid w:val="002B78E6"/>
    <w:rsid w:val="002C083B"/>
    <w:rsid w:val="002C0B80"/>
    <w:rsid w:val="002C4573"/>
    <w:rsid w:val="002E2F64"/>
    <w:rsid w:val="0030688B"/>
    <w:rsid w:val="00342789"/>
    <w:rsid w:val="00350A8C"/>
    <w:rsid w:val="00352709"/>
    <w:rsid w:val="003624D1"/>
    <w:rsid w:val="00385B16"/>
    <w:rsid w:val="003918B4"/>
    <w:rsid w:val="003F79C4"/>
    <w:rsid w:val="00412DDD"/>
    <w:rsid w:val="00413C58"/>
    <w:rsid w:val="00421F8B"/>
    <w:rsid w:val="00472B51"/>
    <w:rsid w:val="00475C88"/>
    <w:rsid w:val="004760AF"/>
    <w:rsid w:val="004A10B9"/>
    <w:rsid w:val="004C488F"/>
    <w:rsid w:val="004E0E27"/>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6211B"/>
    <w:rsid w:val="00690525"/>
    <w:rsid w:val="006C5404"/>
    <w:rsid w:val="006C7D2A"/>
    <w:rsid w:val="006D2900"/>
    <w:rsid w:val="006D2E29"/>
    <w:rsid w:val="006D5967"/>
    <w:rsid w:val="006E7DAB"/>
    <w:rsid w:val="0070203E"/>
    <w:rsid w:val="007130EC"/>
    <w:rsid w:val="00742E9B"/>
    <w:rsid w:val="007432A5"/>
    <w:rsid w:val="00746F3D"/>
    <w:rsid w:val="00752B9A"/>
    <w:rsid w:val="00796B31"/>
    <w:rsid w:val="007D1B36"/>
    <w:rsid w:val="007D77E8"/>
    <w:rsid w:val="007E15C2"/>
    <w:rsid w:val="007E43C8"/>
    <w:rsid w:val="00810247"/>
    <w:rsid w:val="00843353"/>
    <w:rsid w:val="00855300"/>
    <w:rsid w:val="008630E4"/>
    <w:rsid w:val="008700A0"/>
    <w:rsid w:val="0088470F"/>
    <w:rsid w:val="008A2296"/>
    <w:rsid w:val="008B76AC"/>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A02AD5"/>
    <w:rsid w:val="00A03133"/>
    <w:rsid w:val="00A176E2"/>
    <w:rsid w:val="00A17DE4"/>
    <w:rsid w:val="00A42B94"/>
    <w:rsid w:val="00A47703"/>
    <w:rsid w:val="00A512A1"/>
    <w:rsid w:val="00A56E15"/>
    <w:rsid w:val="00A7348F"/>
    <w:rsid w:val="00A806B4"/>
    <w:rsid w:val="00A82A4A"/>
    <w:rsid w:val="00A96EC7"/>
    <w:rsid w:val="00AA4696"/>
    <w:rsid w:val="00AF0735"/>
    <w:rsid w:val="00AF5F37"/>
    <w:rsid w:val="00B241BE"/>
    <w:rsid w:val="00B44232"/>
    <w:rsid w:val="00B50F4B"/>
    <w:rsid w:val="00B568C6"/>
    <w:rsid w:val="00B57C39"/>
    <w:rsid w:val="00B60BAB"/>
    <w:rsid w:val="00B71B2B"/>
    <w:rsid w:val="00B75C3E"/>
    <w:rsid w:val="00B816D9"/>
    <w:rsid w:val="00BE2FC7"/>
    <w:rsid w:val="00BE50D6"/>
    <w:rsid w:val="00BE521E"/>
    <w:rsid w:val="00BE76E2"/>
    <w:rsid w:val="00C14518"/>
    <w:rsid w:val="00C27C64"/>
    <w:rsid w:val="00C31650"/>
    <w:rsid w:val="00C50DA8"/>
    <w:rsid w:val="00C827EF"/>
    <w:rsid w:val="00C95C54"/>
    <w:rsid w:val="00CA7BEE"/>
    <w:rsid w:val="00CC293F"/>
    <w:rsid w:val="00CE1DBC"/>
    <w:rsid w:val="00CE644A"/>
    <w:rsid w:val="00D01490"/>
    <w:rsid w:val="00D12FA2"/>
    <w:rsid w:val="00D14318"/>
    <w:rsid w:val="00D2044F"/>
    <w:rsid w:val="00D46062"/>
    <w:rsid w:val="00D70608"/>
    <w:rsid w:val="00D81AA6"/>
    <w:rsid w:val="00D94F56"/>
    <w:rsid w:val="00DA2F4A"/>
    <w:rsid w:val="00DA6950"/>
    <w:rsid w:val="00DB62FF"/>
    <w:rsid w:val="00E40D99"/>
    <w:rsid w:val="00E81E94"/>
    <w:rsid w:val="00E91034"/>
    <w:rsid w:val="00EB0D94"/>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OY09A5YW\CCCHC%20Financial%20Report%2010%2031%202017%20_%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OY09A5YW\CCCHC%20Financial%20Report%2010%2031%202017%20_%20(0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Data!$A$265:$A$495</c:f>
              <c:numCache>
                <c:formatCode>[$-F800]dddd\,\ mmmm\ dd\,\ yyyy</c:formatCode>
                <c:ptCount val="231"/>
                <c:pt idx="0">
                  <c:v>42737</c:v>
                </c:pt>
                <c:pt idx="1">
                  <c:v>42738</c:v>
                </c:pt>
                <c:pt idx="2">
                  <c:v>42739</c:v>
                </c:pt>
                <c:pt idx="3">
                  <c:v>42740</c:v>
                </c:pt>
                <c:pt idx="4">
                  <c:v>42741</c:v>
                </c:pt>
                <c:pt idx="5">
                  <c:v>42744</c:v>
                </c:pt>
                <c:pt idx="6">
                  <c:v>42745</c:v>
                </c:pt>
                <c:pt idx="7">
                  <c:v>42746</c:v>
                </c:pt>
                <c:pt idx="8">
                  <c:v>42747</c:v>
                </c:pt>
                <c:pt idx="9">
                  <c:v>42748</c:v>
                </c:pt>
                <c:pt idx="10">
                  <c:v>42751</c:v>
                </c:pt>
                <c:pt idx="11">
                  <c:v>42752</c:v>
                </c:pt>
                <c:pt idx="12">
                  <c:v>42753</c:v>
                </c:pt>
                <c:pt idx="13">
                  <c:v>42754</c:v>
                </c:pt>
                <c:pt idx="14">
                  <c:v>42755</c:v>
                </c:pt>
                <c:pt idx="15">
                  <c:v>42758</c:v>
                </c:pt>
                <c:pt idx="16">
                  <c:v>42759</c:v>
                </c:pt>
                <c:pt idx="17">
                  <c:v>42760</c:v>
                </c:pt>
                <c:pt idx="18">
                  <c:v>42761</c:v>
                </c:pt>
                <c:pt idx="19">
                  <c:v>42762</c:v>
                </c:pt>
                <c:pt idx="20">
                  <c:v>42765</c:v>
                </c:pt>
                <c:pt idx="21">
                  <c:v>42766</c:v>
                </c:pt>
                <c:pt idx="22">
                  <c:v>42767</c:v>
                </c:pt>
                <c:pt idx="23">
                  <c:v>42768</c:v>
                </c:pt>
                <c:pt idx="24">
                  <c:v>42769</c:v>
                </c:pt>
                <c:pt idx="25">
                  <c:v>42772</c:v>
                </c:pt>
                <c:pt idx="26">
                  <c:v>42773</c:v>
                </c:pt>
                <c:pt idx="27">
                  <c:v>42774</c:v>
                </c:pt>
                <c:pt idx="28">
                  <c:v>42775</c:v>
                </c:pt>
                <c:pt idx="29">
                  <c:v>42776</c:v>
                </c:pt>
                <c:pt idx="30">
                  <c:v>42779</c:v>
                </c:pt>
                <c:pt idx="31">
                  <c:v>42780</c:v>
                </c:pt>
                <c:pt idx="32">
                  <c:v>42781</c:v>
                </c:pt>
                <c:pt idx="33">
                  <c:v>42782</c:v>
                </c:pt>
                <c:pt idx="34">
                  <c:v>42783</c:v>
                </c:pt>
                <c:pt idx="35">
                  <c:v>42785</c:v>
                </c:pt>
                <c:pt idx="36">
                  <c:v>42787</c:v>
                </c:pt>
                <c:pt idx="37">
                  <c:v>42788</c:v>
                </c:pt>
                <c:pt idx="38">
                  <c:v>42789</c:v>
                </c:pt>
                <c:pt idx="39">
                  <c:v>42790</c:v>
                </c:pt>
                <c:pt idx="40">
                  <c:v>42793</c:v>
                </c:pt>
                <c:pt idx="41">
                  <c:v>42794</c:v>
                </c:pt>
                <c:pt idx="42">
                  <c:v>42795</c:v>
                </c:pt>
                <c:pt idx="43">
                  <c:v>42796</c:v>
                </c:pt>
                <c:pt idx="44">
                  <c:v>42797</c:v>
                </c:pt>
                <c:pt idx="45">
                  <c:v>42800</c:v>
                </c:pt>
                <c:pt idx="46">
                  <c:v>42801</c:v>
                </c:pt>
                <c:pt idx="47">
                  <c:v>42802</c:v>
                </c:pt>
                <c:pt idx="48">
                  <c:v>42803</c:v>
                </c:pt>
                <c:pt idx="49">
                  <c:v>42804</c:v>
                </c:pt>
                <c:pt idx="50">
                  <c:v>42807</c:v>
                </c:pt>
                <c:pt idx="51">
                  <c:v>42808</c:v>
                </c:pt>
                <c:pt idx="52">
                  <c:v>42809</c:v>
                </c:pt>
                <c:pt idx="53">
                  <c:v>42810</c:v>
                </c:pt>
                <c:pt idx="54">
                  <c:v>42811</c:v>
                </c:pt>
                <c:pt idx="55">
                  <c:v>42814</c:v>
                </c:pt>
                <c:pt idx="56">
                  <c:v>42815</c:v>
                </c:pt>
                <c:pt idx="57">
                  <c:v>42816</c:v>
                </c:pt>
                <c:pt idx="58">
                  <c:v>42817</c:v>
                </c:pt>
                <c:pt idx="59">
                  <c:v>42818</c:v>
                </c:pt>
                <c:pt idx="60">
                  <c:v>42821</c:v>
                </c:pt>
                <c:pt idx="61">
                  <c:v>42822</c:v>
                </c:pt>
                <c:pt idx="62">
                  <c:v>42823</c:v>
                </c:pt>
                <c:pt idx="63">
                  <c:v>42824</c:v>
                </c:pt>
                <c:pt idx="64">
                  <c:v>42825</c:v>
                </c:pt>
                <c:pt idx="65">
                  <c:v>42828</c:v>
                </c:pt>
                <c:pt idx="66">
                  <c:v>42829</c:v>
                </c:pt>
                <c:pt idx="67">
                  <c:v>42830</c:v>
                </c:pt>
                <c:pt idx="68">
                  <c:v>42831</c:v>
                </c:pt>
                <c:pt idx="69">
                  <c:v>42832</c:v>
                </c:pt>
                <c:pt idx="70">
                  <c:v>42835</c:v>
                </c:pt>
                <c:pt idx="71">
                  <c:v>42836</c:v>
                </c:pt>
                <c:pt idx="72">
                  <c:v>42837</c:v>
                </c:pt>
                <c:pt idx="73">
                  <c:v>42838</c:v>
                </c:pt>
                <c:pt idx="74">
                  <c:v>42839</c:v>
                </c:pt>
                <c:pt idx="75">
                  <c:v>42842</c:v>
                </c:pt>
                <c:pt idx="76">
                  <c:v>42843</c:v>
                </c:pt>
                <c:pt idx="77">
                  <c:v>42844</c:v>
                </c:pt>
                <c:pt idx="78">
                  <c:v>42845</c:v>
                </c:pt>
                <c:pt idx="79">
                  <c:v>42846</c:v>
                </c:pt>
                <c:pt idx="80">
                  <c:v>42849</c:v>
                </c:pt>
                <c:pt idx="81">
                  <c:v>42850</c:v>
                </c:pt>
                <c:pt idx="82">
                  <c:v>42851</c:v>
                </c:pt>
                <c:pt idx="83">
                  <c:v>42852</c:v>
                </c:pt>
                <c:pt idx="84">
                  <c:v>42853</c:v>
                </c:pt>
                <c:pt idx="85">
                  <c:v>42856</c:v>
                </c:pt>
                <c:pt idx="86">
                  <c:v>42857</c:v>
                </c:pt>
                <c:pt idx="87">
                  <c:v>42858</c:v>
                </c:pt>
                <c:pt idx="88">
                  <c:v>42859</c:v>
                </c:pt>
                <c:pt idx="89">
                  <c:v>42860</c:v>
                </c:pt>
                <c:pt idx="90">
                  <c:v>42863</c:v>
                </c:pt>
                <c:pt idx="91">
                  <c:v>42864</c:v>
                </c:pt>
                <c:pt idx="92">
                  <c:v>42865</c:v>
                </c:pt>
                <c:pt idx="93">
                  <c:v>42866</c:v>
                </c:pt>
                <c:pt idx="94">
                  <c:v>42867</c:v>
                </c:pt>
                <c:pt idx="95">
                  <c:v>42870</c:v>
                </c:pt>
                <c:pt idx="96">
                  <c:v>42871</c:v>
                </c:pt>
                <c:pt idx="97">
                  <c:v>42872</c:v>
                </c:pt>
                <c:pt idx="98">
                  <c:v>42873</c:v>
                </c:pt>
                <c:pt idx="99">
                  <c:v>42874</c:v>
                </c:pt>
                <c:pt idx="100">
                  <c:v>42877</c:v>
                </c:pt>
                <c:pt idx="101">
                  <c:v>42878</c:v>
                </c:pt>
                <c:pt idx="102">
                  <c:v>42879</c:v>
                </c:pt>
                <c:pt idx="103">
                  <c:v>42880</c:v>
                </c:pt>
                <c:pt idx="104">
                  <c:v>42881</c:v>
                </c:pt>
                <c:pt idx="105">
                  <c:v>42884</c:v>
                </c:pt>
                <c:pt idx="106">
                  <c:v>42885</c:v>
                </c:pt>
                <c:pt idx="107">
                  <c:v>42886</c:v>
                </c:pt>
                <c:pt idx="108">
                  <c:v>42887</c:v>
                </c:pt>
                <c:pt idx="109">
                  <c:v>42888</c:v>
                </c:pt>
                <c:pt idx="110">
                  <c:v>42891</c:v>
                </c:pt>
                <c:pt idx="111">
                  <c:v>42892</c:v>
                </c:pt>
                <c:pt idx="112">
                  <c:v>42893</c:v>
                </c:pt>
                <c:pt idx="113">
                  <c:v>42894</c:v>
                </c:pt>
                <c:pt idx="114">
                  <c:v>42895</c:v>
                </c:pt>
                <c:pt idx="115">
                  <c:v>42898</c:v>
                </c:pt>
                <c:pt idx="116">
                  <c:v>42899</c:v>
                </c:pt>
                <c:pt idx="117">
                  <c:v>42900</c:v>
                </c:pt>
                <c:pt idx="118">
                  <c:v>42901</c:v>
                </c:pt>
                <c:pt idx="119">
                  <c:v>42902</c:v>
                </c:pt>
                <c:pt idx="120">
                  <c:v>42905</c:v>
                </c:pt>
                <c:pt idx="121">
                  <c:v>42906</c:v>
                </c:pt>
                <c:pt idx="122">
                  <c:v>42907</c:v>
                </c:pt>
                <c:pt idx="123">
                  <c:v>42908</c:v>
                </c:pt>
                <c:pt idx="124">
                  <c:v>42909</c:v>
                </c:pt>
                <c:pt idx="125">
                  <c:v>42912</c:v>
                </c:pt>
                <c:pt idx="126">
                  <c:v>42913</c:v>
                </c:pt>
                <c:pt idx="127">
                  <c:v>42914</c:v>
                </c:pt>
                <c:pt idx="128">
                  <c:v>42915</c:v>
                </c:pt>
                <c:pt idx="129">
                  <c:v>42916</c:v>
                </c:pt>
                <c:pt idx="130">
                  <c:v>42919</c:v>
                </c:pt>
                <c:pt idx="131">
                  <c:v>42920</c:v>
                </c:pt>
                <c:pt idx="132">
                  <c:v>42921</c:v>
                </c:pt>
                <c:pt idx="133">
                  <c:v>42922</c:v>
                </c:pt>
                <c:pt idx="134">
                  <c:v>42923</c:v>
                </c:pt>
                <c:pt idx="135">
                  <c:v>42926</c:v>
                </c:pt>
                <c:pt idx="136">
                  <c:v>42927</c:v>
                </c:pt>
                <c:pt idx="137">
                  <c:v>42928</c:v>
                </c:pt>
                <c:pt idx="138">
                  <c:v>42929</c:v>
                </c:pt>
                <c:pt idx="139">
                  <c:v>42930</c:v>
                </c:pt>
                <c:pt idx="140">
                  <c:v>42933</c:v>
                </c:pt>
                <c:pt idx="141">
                  <c:v>42934</c:v>
                </c:pt>
                <c:pt idx="142">
                  <c:v>42935</c:v>
                </c:pt>
                <c:pt idx="143">
                  <c:v>42936</c:v>
                </c:pt>
                <c:pt idx="144">
                  <c:v>42937</c:v>
                </c:pt>
                <c:pt idx="145">
                  <c:v>42940</c:v>
                </c:pt>
                <c:pt idx="146">
                  <c:v>42941</c:v>
                </c:pt>
                <c:pt idx="147">
                  <c:v>42942</c:v>
                </c:pt>
                <c:pt idx="148">
                  <c:v>42943</c:v>
                </c:pt>
                <c:pt idx="149">
                  <c:v>42944</c:v>
                </c:pt>
                <c:pt idx="150">
                  <c:v>42947</c:v>
                </c:pt>
                <c:pt idx="151">
                  <c:v>42948</c:v>
                </c:pt>
                <c:pt idx="152">
                  <c:v>42949</c:v>
                </c:pt>
                <c:pt idx="153">
                  <c:v>42950</c:v>
                </c:pt>
                <c:pt idx="154">
                  <c:v>42951</c:v>
                </c:pt>
                <c:pt idx="155">
                  <c:v>42954</c:v>
                </c:pt>
                <c:pt idx="156">
                  <c:v>42955</c:v>
                </c:pt>
                <c:pt idx="157">
                  <c:v>42956</c:v>
                </c:pt>
                <c:pt idx="158">
                  <c:v>42957</c:v>
                </c:pt>
                <c:pt idx="159">
                  <c:v>42958</c:v>
                </c:pt>
                <c:pt idx="160">
                  <c:v>42961</c:v>
                </c:pt>
                <c:pt idx="161">
                  <c:v>42962</c:v>
                </c:pt>
                <c:pt idx="162">
                  <c:v>42963</c:v>
                </c:pt>
                <c:pt idx="163">
                  <c:v>42964</c:v>
                </c:pt>
                <c:pt idx="164">
                  <c:v>42965</c:v>
                </c:pt>
                <c:pt idx="165">
                  <c:v>42968</c:v>
                </c:pt>
                <c:pt idx="166">
                  <c:v>42969</c:v>
                </c:pt>
                <c:pt idx="167">
                  <c:v>42970</c:v>
                </c:pt>
                <c:pt idx="168">
                  <c:v>42971</c:v>
                </c:pt>
                <c:pt idx="169">
                  <c:v>42972</c:v>
                </c:pt>
                <c:pt idx="170">
                  <c:v>42975</c:v>
                </c:pt>
                <c:pt idx="171">
                  <c:v>42976</c:v>
                </c:pt>
                <c:pt idx="172">
                  <c:v>42977</c:v>
                </c:pt>
                <c:pt idx="173">
                  <c:v>42978</c:v>
                </c:pt>
                <c:pt idx="174">
                  <c:v>42979</c:v>
                </c:pt>
                <c:pt idx="175">
                  <c:v>42982</c:v>
                </c:pt>
                <c:pt idx="176">
                  <c:v>42983</c:v>
                </c:pt>
                <c:pt idx="177">
                  <c:v>42984</c:v>
                </c:pt>
                <c:pt idx="178">
                  <c:v>42985</c:v>
                </c:pt>
                <c:pt idx="179">
                  <c:v>42986</c:v>
                </c:pt>
                <c:pt idx="180">
                  <c:v>42989</c:v>
                </c:pt>
                <c:pt idx="181">
                  <c:v>42990</c:v>
                </c:pt>
                <c:pt idx="182">
                  <c:v>42991</c:v>
                </c:pt>
                <c:pt idx="183">
                  <c:v>42992</c:v>
                </c:pt>
                <c:pt idx="184">
                  <c:v>42993</c:v>
                </c:pt>
                <c:pt idx="185">
                  <c:v>42996</c:v>
                </c:pt>
                <c:pt idx="186">
                  <c:v>42997</c:v>
                </c:pt>
                <c:pt idx="187">
                  <c:v>42998</c:v>
                </c:pt>
                <c:pt idx="188">
                  <c:v>42999</c:v>
                </c:pt>
                <c:pt idx="189">
                  <c:v>43000</c:v>
                </c:pt>
                <c:pt idx="190">
                  <c:v>43003</c:v>
                </c:pt>
                <c:pt idx="191">
                  <c:v>43004</c:v>
                </c:pt>
                <c:pt idx="192">
                  <c:v>43005</c:v>
                </c:pt>
                <c:pt idx="193">
                  <c:v>43006</c:v>
                </c:pt>
                <c:pt idx="194">
                  <c:v>43007</c:v>
                </c:pt>
                <c:pt idx="195">
                  <c:v>43010</c:v>
                </c:pt>
                <c:pt idx="196">
                  <c:v>43011</c:v>
                </c:pt>
                <c:pt idx="197">
                  <c:v>43012</c:v>
                </c:pt>
                <c:pt idx="198">
                  <c:v>43013</c:v>
                </c:pt>
                <c:pt idx="199">
                  <c:v>43014</c:v>
                </c:pt>
                <c:pt idx="200">
                  <c:v>43017</c:v>
                </c:pt>
                <c:pt idx="201">
                  <c:v>43018</c:v>
                </c:pt>
                <c:pt idx="202">
                  <c:v>43019</c:v>
                </c:pt>
                <c:pt idx="203">
                  <c:v>43020</c:v>
                </c:pt>
                <c:pt idx="204">
                  <c:v>43021</c:v>
                </c:pt>
                <c:pt idx="205">
                  <c:v>43024</c:v>
                </c:pt>
                <c:pt idx="206">
                  <c:v>43025</c:v>
                </c:pt>
                <c:pt idx="207">
                  <c:v>43026</c:v>
                </c:pt>
                <c:pt idx="208">
                  <c:v>43027</c:v>
                </c:pt>
                <c:pt idx="209">
                  <c:v>43028</c:v>
                </c:pt>
                <c:pt idx="210">
                  <c:v>43031</c:v>
                </c:pt>
                <c:pt idx="211">
                  <c:v>43032</c:v>
                </c:pt>
                <c:pt idx="212">
                  <c:v>43033</c:v>
                </c:pt>
                <c:pt idx="213">
                  <c:v>43034</c:v>
                </c:pt>
                <c:pt idx="214">
                  <c:v>43035</c:v>
                </c:pt>
                <c:pt idx="215">
                  <c:v>43038</c:v>
                </c:pt>
                <c:pt idx="216">
                  <c:v>43039</c:v>
                </c:pt>
                <c:pt idx="217">
                  <c:v>43040</c:v>
                </c:pt>
                <c:pt idx="218">
                  <c:v>43041</c:v>
                </c:pt>
                <c:pt idx="219">
                  <c:v>43042</c:v>
                </c:pt>
                <c:pt idx="220">
                  <c:v>43045</c:v>
                </c:pt>
                <c:pt idx="221">
                  <c:v>43046</c:v>
                </c:pt>
                <c:pt idx="222">
                  <c:v>43047</c:v>
                </c:pt>
                <c:pt idx="223">
                  <c:v>43048</c:v>
                </c:pt>
                <c:pt idx="224">
                  <c:v>43049</c:v>
                </c:pt>
                <c:pt idx="225">
                  <c:v>43052</c:v>
                </c:pt>
                <c:pt idx="226">
                  <c:v>43053</c:v>
                </c:pt>
                <c:pt idx="227">
                  <c:v>43054</c:v>
                </c:pt>
                <c:pt idx="228">
                  <c:v>43055</c:v>
                </c:pt>
                <c:pt idx="229">
                  <c:v>43056</c:v>
                </c:pt>
                <c:pt idx="230">
                  <c:v>43059</c:v>
                </c:pt>
              </c:numCache>
            </c:numRef>
          </c:cat>
          <c:val>
            <c:numRef>
              <c:f>Data!$B$265:$B$495</c:f>
              <c:numCache>
                <c:formatCode>#,##0</c:formatCode>
                <c:ptCount val="231"/>
                <c:pt idx="0">
                  <c:v>354814</c:v>
                </c:pt>
                <c:pt idx="1">
                  <c:v>361866.86</c:v>
                </c:pt>
                <c:pt idx="2">
                  <c:v>363519.32</c:v>
                </c:pt>
                <c:pt idx="3">
                  <c:v>361866.66</c:v>
                </c:pt>
                <c:pt idx="4">
                  <c:v>363519</c:v>
                </c:pt>
                <c:pt idx="5">
                  <c:v>363543.47</c:v>
                </c:pt>
                <c:pt idx="6">
                  <c:v>328707.83</c:v>
                </c:pt>
                <c:pt idx="7">
                  <c:v>328708</c:v>
                </c:pt>
                <c:pt idx="8">
                  <c:v>321086.01</c:v>
                </c:pt>
                <c:pt idx="9">
                  <c:v>334097.28000000003</c:v>
                </c:pt>
                <c:pt idx="10">
                  <c:v>334097</c:v>
                </c:pt>
                <c:pt idx="11">
                  <c:v>268850.96000000002</c:v>
                </c:pt>
                <c:pt idx="12">
                  <c:v>268851</c:v>
                </c:pt>
                <c:pt idx="13">
                  <c:v>269075.21000000002</c:v>
                </c:pt>
                <c:pt idx="14">
                  <c:v>270983.21000000002</c:v>
                </c:pt>
                <c:pt idx="15">
                  <c:v>270983</c:v>
                </c:pt>
                <c:pt idx="16">
                  <c:v>270723.98</c:v>
                </c:pt>
                <c:pt idx="17">
                  <c:v>281353.09999999998</c:v>
                </c:pt>
                <c:pt idx="18">
                  <c:v>274313.84999999998</c:v>
                </c:pt>
                <c:pt idx="19">
                  <c:v>296447.59999999998</c:v>
                </c:pt>
                <c:pt idx="20">
                  <c:v>295107.96000000002</c:v>
                </c:pt>
                <c:pt idx="21">
                  <c:v>314030.53000000003</c:v>
                </c:pt>
                <c:pt idx="22">
                  <c:v>314031</c:v>
                </c:pt>
                <c:pt idx="23">
                  <c:v>312808.53999999998</c:v>
                </c:pt>
                <c:pt idx="24">
                  <c:v>316461.53999999998</c:v>
                </c:pt>
                <c:pt idx="25">
                  <c:v>316462</c:v>
                </c:pt>
                <c:pt idx="26">
                  <c:v>289560.21999999997</c:v>
                </c:pt>
                <c:pt idx="27">
                  <c:v>297310.21999999997</c:v>
                </c:pt>
                <c:pt idx="28">
                  <c:v>352433.91</c:v>
                </c:pt>
                <c:pt idx="29">
                  <c:v>352434</c:v>
                </c:pt>
                <c:pt idx="30">
                  <c:v>352434</c:v>
                </c:pt>
                <c:pt idx="31">
                  <c:v>352434</c:v>
                </c:pt>
                <c:pt idx="32">
                  <c:v>352542.46</c:v>
                </c:pt>
                <c:pt idx="33">
                  <c:v>383231.99</c:v>
                </c:pt>
                <c:pt idx="34">
                  <c:v>404679.36</c:v>
                </c:pt>
                <c:pt idx="35">
                  <c:v>404679</c:v>
                </c:pt>
                <c:pt idx="36">
                  <c:v>368703.72</c:v>
                </c:pt>
                <c:pt idx="37">
                  <c:v>368203.72</c:v>
                </c:pt>
                <c:pt idx="38">
                  <c:v>349211.92</c:v>
                </c:pt>
                <c:pt idx="39">
                  <c:v>384176.45</c:v>
                </c:pt>
                <c:pt idx="40">
                  <c:v>384176</c:v>
                </c:pt>
                <c:pt idx="41">
                  <c:v>384176</c:v>
                </c:pt>
                <c:pt idx="42">
                  <c:v>384176</c:v>
                </c:pt>
                <c:pt idx="43">
                  <c:v>395396.43</c:v>
                </c:pt>
                <c:pt idx="44">
                  <c:v>395396</c:v>
                </c:pt>
                <c:pt idx="45">
                  <c:v>395396</c:v>
                </c:pt>
                <c:pt idx="46">
                  <c:v>361856.47</c:v>
                </c:pt>
                <c:pt idx="47">
                  <c:v>361856</c:v>
                </c:pt>
                <c:pt idx="48">
                  <c:v>349877.16</c:v>
                </c:pt>
                <c:pt idx="49">
                  <c:v>359297.81</c:v>
                </c:pt>
                <c:pt idx="50">
                  <c:v>361678.91</c:v>
                </c:pt>
                <c:pt idx="51">
                  <c:v>361679</c:v>
                </c:pt>
                <c:pt idx="52">
                  <c:v>370843.37</c:v>
                </c:pt>
                <c:pt idx="53">
                  <c:v>377566.07</c:v>
                </c:pt>
                <c:pt idx="54">
                  <c:v>370373.97</c:v>
                </c:pt>
                <c:pt idx="55">
                  <c:v>338340.3</c:v>
                </c:pt>
                <c:pt idx="56">
                  <c:v>338340</c:v>
                </c:pt>
                <c:pt idx="57">
                  <c:v>338340</c:v>
                </c:pt>
                <c:pt idx="58">
                  <c:v>348438.37</c:v>
                </c:pt>
                <c:pt idx="59">
                  <c:v>348438</c:v>
                </c:pt>
                <c:pt idx="60">
                  <c:v>348360.51</c:v>
                </c:pt>
                <c:pt idx="61" formatCode="#,##0_);[Red]\(#,##0\)">
                  <c:v>348440.48</c:v>
                </c:pt>
                <c:pt idx="62" formatCode="#,##0_);[Red]\(#,##0\)">
                  <c:v>348440</c:v>
                </c:pt>
                <c:pt idx="63" formatCode="#,##0_);[Red]\(#,##0\)">
                  <c:v>350305.92</c:v>
                </c:pt>
                <c:pt idx="64" formatCode="#,##0_);[Red]\(#,##0\)">
                  <c:v>350306</c:v>
                </c:pt>
                <c:pt idx="65" formatCode="#,##0_);[Red]\(#,##0\)">
                  <c:v>350306</c:v>
                </c:pt>
                <c:pt idx="66" formatCode="#,##0_);[Red]\(#,##0\)">
                  <c:v>320389.65000000002</c:v>
                </c:pt>
                <c:pt idx="67" formatCode="#,##0_);[Red]\(#,##0\)">
                  <c:v>320390</c:v>
                </c:pt>
                <c:pt idx="68" formatCode="#,##0_);[Red]\(#,##0\)">
                  <c:v>313344</c:v>
                </c:pt>
                <c:pt idx="69" formatCode="#,##0_);[Red]\(#,##0\)">
                  <c:v>313344</c:v>
                </c:pt>
                <c:pt idx="70" formatCode="#,##0_);[Red]\(#,##0\)">
                  <c:v>306132.78000000003</c:v>
                </c:pt>
                <c:pt idx="71" formatCode="#,##0_);[Red]\(#,##0\)">
                  <c:v>286047.34999999998</c:v>
                </c:pt>
                <c:pt idx="72" formatCode="#,##0_);[Red]\(#,##0\)">
                  <c:v>286047</c:v>
                </c:pt>
                <c:pt idx="73" formatCode="#,##0_);[Red]\(#,##0\)">
                  <c:v>272128.99</c:v>
                </c:pt>
                <c:pt idx="74" formatCode="#,##0_);[Red]\(#,##0\)">
                  <c:v>272229.71000000002</c:v>
                </c:pt>
                <c:pt idx="75" formatCode="#,##0_);[Red]\(#,##0\)">
                  <c:v>236683.56</c:v>
                </c:pt>
                <c:pt idx="76" formatCode="#,##0_);[Red]\(#,##0\)">
                  <c:v>244114.64</c:v>
                </c:pt>
                <c:pt idx="77" formatCode="#,##0_);[Red]\(#,##0\)">
                  <c:v>244115</c:v>
                </c:pt>
                <c:pt idx="78" formatCode="#,##0_);[Red]\(#,##0\)">
                  <c:v>241798.76</c:v>
                </c:pt>
                <c:pt idx="79" formatCode="#,##0_);[Red]\(#,##0\)">
                  <c:v>241799</c:v>
                </c:pt>
                <c:pt idx="80" formatCode="#,##0_);[Red]\(#,##0\)">
                  <c:v>241973.76000000001</c:v>
                </c:pt>
                <c:pt idx="81" formatCode="#,##0_);[Red]\(#,##0\)">
                  <c:v>243364.2</c:v>
                </c:pt>
                <c:pt idx="82" formatCode="#,##0_);[Red]\(#,##0\)">
                  <c:v>243364</c:v>
                </c:pt>
                <c:pt idx="83" formatCode="#,##0_);[Red]\(#,##0\)">
                  <c:v>259265.45</c:v>
                </c:pt>
                <c:pt idx="84" formatCode="#,##0_);[Red]\(#,##0\)">
                  <c:v>290731.18</c:v>
                </c:pt>
                <c:pt idx="85" formatCode="#,##0_);[Red]\(#,##0\)">
                  <c:v>251486.17</c:v>
                </c:pt>
                <c:pt idx="86" formatCode="#,##0_);[Red]\(#,##0\)">
                  <c:v>253188.17</c:v>
                </c:pt>
                <c:pt idx="87" formatCode="#,##0_);[Red]\(#,##0\)">
                  <c:v>253188</c:v>
                </c:pt>
                <c:pt idx="88" formatCode="#,##0_);[Red]\(#,##0\)">
                  <c:v>232739.33</c:v>
                </c:pt>
                <c:pt idx="89" formatCode="#,##0_);[Red]\(#,##0\)">
                  <c:v>234049.33</c:v>
                </c:pt>
                <c:pt idx="90" formatCode="#,##0_);[Red]\(#,##0\)">
                  <c:v>314317.77</c:v>
                </c:pt>
                <c:pt idx="91" formatCode="#,##0_);[Red]\(#,##0\)">
                  <c:v>314318</c:v>
                </c:pt>
                <c:pt idx="92" formatCode="#,##0_);[Red]\(#,##0\)">
                  <c:v>314318</c:v>
                </c:pt>
                <c:pt idx="93" formatCode="#,##0_);[Red]\(#,##0\)">
                  <c:v>313971.28000000003</c:v>
                </c:pt>
                <c:pt idx="94" formatCode="#,##0_);[Red]\(#,##0\)">
                  <c:v>313971</c:v>
                </c:pt>
                <c:pt idx="95" formatCode="#,##0_);[Red]\(#,##0\)">
                  <c:v>271063.69</c:v>
                </c:pt>
                <c:pt idx="96" formatCode="#,##0_);[Red]\(#,##0\)">
                  <c:v>271064</c:v>
                </c:pt>
                <c:pt idx="97" formatCode="#,##0_);[Red]\(#,##0\)">
                  <c:v>271064</c:v>
                </c:pt>
                <c:pt idx="98" formatCode="#,##0_);[Red]\(#,##0\)">
                  <c:v>261497.73</c:v>
                </c:pt>
                <c:pt idx="99" formatCode="#,##0_);[Red]\(#,##0\)">
                  <c:v>311507.92</c:v>
                </c:pt>
                <c:pt idx="100" formatCode="#,##0_);[Red]\(#,##0\)">
                  <c:v>290080.52</c:v>
                </c:pt>
                <c:pt idx="101" formatCode="#,##0_);[Red]\(#,##0\)">
                  <c:v>290081</c:v>
                </c:pt>
                <c:pt idx="102" formatCode="#,##0_);[Red]\(#,##0\)">
                  <c:v>327080.46000000002</c:v>
                </c:pt>
                <c:pt idx="103" formatCode="#,##0_);[Red]\(#,##0\)">
                  <c:v>327080</c:v>
                </c:pt>
                <c:pt idx="104" formatCode="#,##0_);[Red]\(#,##0\)">
                  <c:v>336844.12</c:v>
                </c:pt>
                <c:pt idx="105" formatCode="#,##0_);[Red]\(#,##0\)">
                  <c:v>336844</c:v>
                </c:pt>
                <c:pt idx="106" formatCode="#,##0_);[Red]\(#,##0\)">
                  <c:v>300553.48</c:v>
                </c:pt>
                <c:pt idx="107" formatCode="#,##0_);[Red]\(#,##0\)">
                  <c:v>296887.5</c:v>
                </c:pt>
                <c:pt idx="108" formatCode="#,##0_);[Red]\(#,##0\)">
                  <c:v>297355.68</c:v>
                </c:pt>
                <c:pt idx="109" formatCode="#,##0_);[Red]\(#,##0\)">
                  <c:v>298760.68</c:v>
                </c:pt>
                <c:pt idx="110" formatCode="#,##0_);[Red]\(#,##0\)">
                  <c:v>279006.82</c:v>
                </c:pt>
                <c:pt idx="111" formatCode="#,##0_);[Red]\(#,##0\)">
                  <c:v>279007</c:v>
                </c:pt>
                <c:pt idx="112" formatCode="#,##0_);[Red]\(#,##0\)">
                  <c:v>279007</c:v>
                </c:pt>
                <c:pt idx="113" formatCode="#,##0_);[Red]\(#,##0\)">
                  <c:v>279112.07</c:v>
                </c:pt>
                <c:pt idx="114" formatCode="#,##0_);[Red]\(#,##0\)">
                  <c:v>279112</c:v>
                </c:pt>
                <c:pt idx="115" formatCode="#,##0_);[Red]\(#,##0\)">
                  <c:v>244072.02</c:v>
                </c:pt>
                <c:pt idx="116" formatCode="#,##0_);[Red]\(#,##0\)">
                  <c:v>249325.41</c:v>
                </c:pt>
                <c:pt idx="117" formatCode="#,##0_);[Red]\(#,##0\)">
                  <c:v>249325</c:v>
                </c:pt>
                <c:pt idx="118" formatCode="#,##0_);[Red]\(#,##0\)">
                  <c:v>252874.48</c:v>
                </c:pt>
                <c:pt idx="119" formatCode="#,##0_);[Red]\(#,##0\)">
                  <c:v>253128.65</c:v>
                </c:pt>
                <c:pt idx="120" formatCode="#,##0_);[Red]\(#,##0\)">
                  <c:v>255098.96</c:v>
                </c:pt>
                <c:pt idx="121" formatCode="#,##0_);[Red]\(#,##0\)">
                  <c:v>253521.42</c:v>
                </c:pt>
                <c:pt idx="122" formatCode="#,##0_);[Red]\(#,##0\)">
                  <c:v>253521</c:v>
                </c:pt>
                <c:pt idx="123" formatCode="#,##0_);[Red]\(#,##0\)">
                  <c:v>235912.36</c:v>
                </c:pt>
                <c:pt idx="124" formatCode="#,##0_);[Red]\(#,##0\)">
                  <c:v>235912</c:v>
                </c:pt>
                <c:pt idx="125" formatCode="#,##0_);[Red]\(#,##0\)">
                  <c:v>198879.76</c:v>
                </c:pt>
                <c:pt idx="126" formatCode="#,##0_);[Red]\(#,##0\)">
                  <c:v>199009.76</c:v>
                </c:pt>
                <c:pt idx="127" formatCode="#,##0_);[Red]\(#,##0\)">
                  <c:v>199010</c:v>
                </c:pt>
                <c:pt idx="128" formatCode="#,##0_);[Red]\(#,##0\)">
                  <c:v>210354</c:v>
                </c:pt>
                <c:pt idx="129" formatCode="#,##0_);[Red]\(#,##0\)">
                  <c:v>260779.62</c:v>
                </c:pt>
                <c:pt idx="130" formatCode="#,##0_);[Red]\(#,##0\)">
                  <c:v>260780</c:v>
                </c:pt>
                <c:pt idx="131" formatCode="#,##0_);[Red]\(#,##0\)">
                  <c:v>260780</c:v>
                </c:pt>
                <c:pt idx="132" formatCode="#,##0_);[Red]\(#,##0\)">
                  <c:v>260780</c:v>
                </c:pt>
                <c:pt idx="133" formatCode="#,##0_);[Red]\(#,##0\)">
                  <c:v>261774.11</c:v>
                </c:pt>
                <c:pt idx="134" formatCode="#,##0_);[Red]\(#,##0\)">
                  <c:v>261774</c:v>
                </c:pt>
                <c:pt idx="135" formatCode="#,##0_);[Red]\(#,##0\)">
                  <c:v>226950.89</c:v>
                </c:pt>
                <c:pt idx="136" formatCode="#,##0_);[Red]\(#,##0\)">
                  <c:v>226951</c:v>
                </c:pt>
                <c:pt idx="137" formatCode="#,##0_);[Red]\(#,##0\)">
                  <c:v>248711.94</c:v>
                </c:pt>
                <c:pt idx="138" formatCode="#,##0_);[Red]\(#,##0\)">
                  <c:v>256201.58</c:v>
                </c:pt>
                <c:pt idx="139" formatCode="#,##0_);[Red]\(#,##0\)">
                  <c:v>256272.97</c:v>
                </c:pt>
                <c:pt idx="140" formatCode="#,##0_);[Red]\(#,##0\)">
                  <c:v>256056.42</c:v>
                </c:pt>
                <c:pt idx="141" formatCode="#,##0_);[Red]\(#,##0\)">
                  <c:v>257213.96</c:v>
                </c:pt>
                <c:pt idx="142" formatCode="#,##0_);[Red]\(#,##0\)">
                  <c:v>257214</c:v>
                </c:pt>
                <c:pt idx="143" formatCode="#,##0_);[Red]\(#,##0\)">
                  <c:v>260075.5</c:v>
                </c:pt>
                <c:pt idx="144" formatCode="#,##0_);[Red]\(#,##0\)">
                  <c:v>339825.5</c:v>
                </c:pt>
                <c:pt idx="145" formatCode="#,##0_);[Red]\(#,##0\)">
                  <c:v>303182.65000000002</c:v>
                </c:pt>
                <c:pt idx="146" formatCode="#,##0_);[Red]\(#,##0\)">
                  <c:v>322340.12</c:v>
                </c:pt>
                <c:pt idx="147" formatCode="#,##0_);[Red]\(#,##0\)">
                  <c:v>322340</c:v>
                </c:pt>
                <c:pt idx="148" formatCode="#,##0_);[Red]\(#,##0\)">
                  <c:v>308772.78999999998</c:v>
                </c:pt>
                <c:pt idx="149" formatCode="#,##0_);[Red]\(#,##0\)">
                  <c:v>317343.40999999997</c:v>
                </c:pt>
                <c:pt idx="150" formatCode="#,##0_);[Red]\(#,##0\)">
                  <c:v>317343</c:v>
                </c:pt>
                <c:pt idx="151" formatCode="#,##0_);[Red]\(#,##0\)">
                  <c:v>369152.35</c:v>
                </c:pt>
                <c:pt idx="152" formatCode="#,##0_);[Red]\(#,##0\)">
                  <c:v>371061.94</c:v>
                </c:pt>
                <c:pt idx="153" formatCode="#,##0_);[Red]\(#,##0\)">
                  <c:v>372080.87</c:v>
                </c:pt>
                <c:pt idx="154" formatCode="#,##0_);[Red]\(#,##0\)">
                  <c:v>372080.87</c:v>
                </c:pt>
                <c:pt idx="155" formatCode="#,##0_);[Red]\(#,##0\)">
                  <c:v>336189.47</c:v>
                </c:pt>
                <c:pt idx="156" formatCode="#,##0_);[Red]\(#,##0\)">
                  <c:v>340998.07</c:v>
                </c:pt>
                <c:pt idx="157" formatCode="#,##0_);[Red]\(#,##0\)">
                  <c:v>332763.65000000002</c:v>
                </c:pt>
                <c:pt idx="158" formatCode="#,##0_);[Red]\(#,##0\)">
                  <c:v>375651.45</c:v>
                </c:pt>
                <c:pt idx="159" formatCode="#,##0_);[Red]\(#,##0\)">
                  <c:v>378293.21</c:v>
                </c:pt>
                <c:pt idx="160" formatCode="#,##0_);[Red]\(#,##0\)">
                  <c:v>378293</c:v>
                </c:pt>
                <c:pt idx="161" formatCode="#,##0_);[Red]\(#,##0\)">
                  <c:v>401190.06</c:v>
                </c:pt>
                <c:pt idx="162" formatCode="#,##0_);[Red]\(#,##0\)">
                  <c:v>401190</c:v>
                </c:pt>
                <c:pt idx="163" formatCode="#,##0_);[Red]\(#,##0\)">
                  <c:v>401569.72</c:v>
                </c:pt>
                <c:pt idx="164" formatCode="#,##0_);[Red]\(#,##0\)">
                  <c:v>403837.72</c:v>
                </c:pt>
                <c:pt idx="165" formatCode="#,##0_);[Red]\(#,##0\)">
                  <c:v>369495.17</c:v>
                </c:pt>
                <c:pt idx="166" formatCode="#,##0_);[Red]\(#,##0\)">
                  <c:v>379169.06</c:v>
                </c:pt>
                <c:pt idx="167" formatCode="#,##0_);[Red]\(#,##0\)">
                  <c:v>379169</c:v>
                </c:pt>
                <c:pt idx="168" formatCode="#,##0_);[Red]\(#,##0\)">
                  <c:v>372540.41</c:v>
                </c:pt>
                <c:pt idx="169" formatCode="#,##0_);[Red]\(#,##0\)">
                  <c:v>372540</c:v>
                </c:pt>
                <c:pt idx="170" formatCode="#,##0_);[Red]\(#,##0\)">
                  <c:v>372540</c:v>
                </c:pt>
                <c:pt idx="171" formatCode="#,##0_);[Red]\(#,##0\)">
                  <c:v>374625.25</c:v>
                </c:pt>
                <c:pt idx="172" formatCode="#,##0_);[Red]\(#,##0\)">
                  <c:v>382658.46</c:v>
                </c:pt>
                <c:pt idx="173" formatCode="#,##0_);[Red]\(#,##0\)">
                  <c:v>389160.26</c:v>
                </c:pt>
                <c:pt idx="174" formatCode="#,##0_);[Red]\(#,##0\)">
                  <c:v>389160</c:v>
                </c:pt>
                <c:pt idx="175" formatCode="#,##0_);[Red]\(#,##0\)">
                  <c:v>389160</c:v>
                </c:pt>
                <c:pt idx="176" formatCode="#,##0_);[Red]\(#,##0\)">
                  <c:v>352908.42</c:v>
                </c:pt>
                <c:pt idx="177" formatCode="#,##0_);[Red]\(#,##0\)">
                  <c:v>383959.41</c:v>
                </c:pt>
                <c:pt idx="178" formatCode="#,##0_);[Red]\(#,##0\)">
                  <c:v>403148.81</c:v>
                </c:pt>
                <c:pt idx="179" formatCode="#,##0_);[Red]\(#,##0\)">
                  <c:v>403344.11</c:v>
                </c:pt>
                <c:pt idx="180" formatCode="#,##0_);[Red]\(#,##0\)">
                  <c:v>403344</c:v>
                </c:pt>
                <c:pt idx="181" formatCode="#,##0_);[Red]\(#,##0\)">
                  <c:v>403344</c:v>
                </c:pt>
                <c:pt idx="182" formatCode="#,##0_);[Red]\(#,##0\)">
                  <c:v>403344</c:v>
                </c:pt>
                <c:pt idx="183" formatCode="#,##0_);[Red]\(#,##0\)">
                  <c:v>400016.8</c:v>
                </c:pt>
                <c:pt idx="184" formatCode="#,##0_);[Red]\(#,##0\)">
                  <c:v>400134.96</c:v>
                </c:pt>
                <c:pt idx="185" formatCode="#,##0_);[Red]\(#,##0\)">
                  <c:v>364805.11</c:v>
                </c:pt>
                <c:pt idx="186" formatCode="#,##0_);[Red]\(#,##0\)">
                  <c:v>364805</c:v>
                </c:pt>
                <c:pt idx="187" formatCode="#,##0_);[Red]\(#,##0\)">
                  <c:v>371804.33</c:v>
                </c:pt>
                <c:pt idx="188" formatCode="#,##0_);[Red]\(#,##0\)">
                  <c:v>370759.85</c:v>
                </c:pt>
                <c:pt idx="189" formatCode="#,##0_);[Red]\(#,##0\)">
                  <c:v>389878.66</c:v>
                </c:pt>
                <c:pt idx="190" formatCode="#,##0_);[Red]\(#,##0\)">
                  <c:v>393013.02</c:v>
                </c:pt>
                <c:pt idx="191" formatCode="#,##0_);[Red]\(#,##0\)">
                  <c:v>393593.22</c:v>
                </c:pt>
                <c:pt idx="192" formatCode="#,##0_);[Red]\(#,##0\)">
                  <c:v>393593</c:v>
                </c:pt>
                <c:pt idx="193" formatCode="#,##0_);[Red]\(#,##0\)">
                  <c:v>385433.95</c:v>
                </c:pt>
                <c:pt idx="194" formatCode="#,##0_);[Red]\(#,##0\)">
                  <c:v>385678.15</c:v>
                </c:pt>
                <c:pt idx="195" formatCode="#,##0_);[Red]\(#,##0\)">
                  <c:v>350949.28</c:v>
                </c:pt>
                <c:pt idx="196" formatCode="#,##0_);[Red]\(#,##0\)">
                  <c:v>352010.98</c:v>
                </c:pt>
                <c:pt idx="197" formatCode="#,##0_);[Red]\(#,##0\)">
                  <c:v>352011</c:v>
                </c:pt>
                <c:pt idx="198" formatCode="#,##0_);[Red]\(#,##0\)">
                  <c:v>348679</c:v>
                </c:pt>
                <c:pt idx="199" formatCode="#,##0_);[Red]\(#,##0\)">
                  <c:v>348679</c:v>
                </c:pt>
                <c:pt idx="200" formatCode="#,##0_);[Red]\(#,##0\)">
                  <c:v>348679</c:v>
                </c:pt>
                <c:pt idx="201" formatCode="#,##0_);[Red]\(#,##0\)">
                  <c:v>348679</c:v>
                </c:pt>
                <c:pt idx="202" formatCode="#,##0_);[Red]\(#,##0\)">
                  <c:v>348761.24</c:v>
                </c:pt>
                <c:pt idx="203" formatCode="#,##0_);[Red]\(#,##0\)">
                  <c:v>349998.26</c:v>
                </c:pt>
                <c:pt idx="204" formatCode="#,##0_);[Red]\(#,##0\)">
                  <c:v>370561.14</c:v>
                </c:pt>
                <c:pt idx="205" formatCode="#,##0_);[Red]\(#,##0\)">
                  <c:v>336220.14</c:v>
                </c:pt>
                <c:pt idx="206" formatCode="#,##0_);[Red]\(#,##0\)">
                  <c:v>336332.14</c:v>
                </c:pt>
                <c:pt idx="207" formatCode="#,##0_);[Red]\(#,##0\)">
                  <c:v>336332</c:v>
                </c:pt>
                <c:pt idx="208" formatCode="#,##0_);[Red]\(#,##0\)">
                  <c:v>339185.02</c:v>
                </c:pt>
                <c:pt idx="209" formatCode="#,##0_);[Red]\(#,##0\)">
                  <c:v>344936.35</c:v>
                </c:pt>
                <c:pt idx="210" formatCode="#,##0_);[Red]\(#,##0\)">
                  <c:v>344564.68</c:v>
                </c:pt>
                <c:pt idx="211" formatCode="#,##0_);[Red]\(#,##0\)">
                  <c:v>344565</c:v>
                </c:pt>
                <c:pt idx="212" formatCode="#,##0_);[Red]\(#,##0\)">
                  <c:v>344829.18</c:v>
                </c:pt>
                <c:pt idx="213" formatCode="#,##0_);[Red]\(#,##0\)">
                  <c:v>339942.05</c:v>
                </c:pt>
                <c:pt idx="214" formatCode="#,##0_);[Red]\(#,##0\)">
                  <c:v>360185.72</c:v>
                </c:pt>
                <c:pt idx="215" formatCode="#,##0_);[Red]\(#,##0\)">
                  <c:v>323067.73</c:v>
                </c:pt>
                <c:pt idx="216" formatCode="#,##0_);[Red]\(#,##0\)">
                  <c:v>323197.73</c:v>
                </c:pt>
                <c:pt idx="217" formatCode="#,##0_);[Red]\(#,##0\)">
                  <c:v>323198</c:v>
                </c:pt>
                <c:pt idx="218" formatCode="#,##0_);[Red]\(#,##0\)">
                  <c:v>341044.7</c:v>
                </c:pt>
                <c:pt idx="219" formatCode="#,##0_);[Red]\(#,##0\)">
                  <c:v>341676.17</c:v>
                </c:pt>
                <c:pt idx="220" formatCode="#,##0_);[Red]\(#,##0\)">
                  <c:v>341676</c:v>
                </c:pt>
                <c:pt idx="221" formatCode="#,##0_);[Red]\(#,##0\)">
                  <c:v>341676</c:v>
                </c:pt>
                <c:pt idx="222" formatCode="#,##0_);[Red]\(#,##0\)">
                  <c:v>379863.97</c:v>
                </c:pt>
                <c:pt idx="223" formatCode="#,##0_);[Red]\(#,##0\)">
                  <c:v>378842.06</c:v>
                </c:pt>
                <c:pt idx="224" formatCode="#,##0_);[Red]\(#,##0\)">
                  <c:v>378842</c:v>
                </c:pt>
                <c:pt idx="225" formatCode="#,##0_);[Red]\(#,##0\)">
                  <c:v>340784.14</c:v>
                </c:pt>
                <c:pt idx="226" formatCode="#,##0_);[Red]\(#,##0\)">
                  <c:v>340784</c:v>
                </c:pt>
                <c:pt idx="227" formatCode="#,##0_);[Red]\(#,##0\)">
                  <c:v>340895.76</c:v>
                </c:pt>
                <c:pt idx="228" formatCode="#,##0_);[Red]\(#,##0\)">
                  <c:v>349266.8</c:v>
                </c:pt>
                <c:pt idx="229" formatCode="#,##0_);[Red]\(#,##0\)">
                  <c:v>349267</c:v>
                </c:pt>
                <c:pt idx="230" formatCode="#,##0_);[Red]\(#,##0\)">
                  <c:v>352824.91</c:v>
                </c:pt>
              </c:numCache>
            </c:numRef>
          </c:val>
          <c:smooth val="0"/>
        </c:ser>
        <c:dLbls>
          <c:showLegendKey val="0"/>
          <c:showVal val="0"/>
          <c:showCatName val="0"/>
          <c:showSerName val="0"/>
          <c:showPercent val="0"/>
          <c:showBubbleSize val="0"/>
        </c:dLbls>
        <c:smooth val="0"/>
        <c:axId val="580207008"/>
        <c:axId val="580206616"/>
      </c:lineChart>
      <c:dateAx>
        <c:axId val="580207008"/>
        <c:scaling>
          <c:orientation val="minMax"/>
        </c:scaling>
        <c:delete val="0"/>
        <c:axPos val="b"/>
        <c:numFmt formatCode="[$-409]m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206616"/>
        <c:crosses val="autoZero"/>
        <c:auto val="1"/>
        <c:lblOffset val="100"/>
        <c:baseTimeUnit val="days"/>
        <c:majorUnit val="30"/>
        <c:majorTimeUnit val="days"/>
        <c:minorUnit val="4"/>
        <c:minorTimeUnit val="months"/>
      </c:dateAx>
      <c:valAx>
        <c:axId val="580206616"/>
        <c:scaling>
          <c:orientation val="minMax"/>
          <c:min val="150000"/>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207008"/>
        <c:crossesAt val="42737"/>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Grants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Data!$D$184:$D$197</c:f>
              <c:numCache>
                <c:formatCode>mmm\-yy</c:formatCode>
                <c:ptCount val="14"/>
                <c:pt idx="0">
                  <c:v>42644</c:v>
                </c:pt>
                <c:pt idx="1">
                  <c:v>42675</c:v>
                </c:pt>
                <c:pt idx="2">
                  <c:v>42705</c:v>
                </c:pt>
                <c:pt idx="3">
                  <c:v>42736</c:v>
                </c:pt>
                <c:pt idx="4">
                  <c:v>42767</c:v>
                </c:pt>
                <c:pt idx="5">
                  <c:v>42795</c:v>
                </c:pt>
                <c:pt idx="6">
                  <c:v>42826</c:v>
                </c:pt>
                <c:pt idx="7">
                  <c:v>42856</c:v>
                </c:pt>
                <c:pt idx="8">
                  <c:v>42887</c:v>
                </c:pt>
                <c:pt idx="9">
                  <c:v>42917</c:v>
                </c:pt>
                <c:pt idx="10">
                  <c:v>42948</c:v>
                </c:pt>
                <c:pt idx="11">
                  <c:v>42979</c:v>
                </c:pt>
                <c:pt idx="12">
                  <c:v>43009</c:v>
                </c:pt>
              </c:numCache>
            </c:numRef>
          </c:cat>
          <c:val>
            <c:numRef>
              <c:f>Data!$E$184:$E$197</c:f>
              <c:numCache>
                <c:formatCode>"$"#,##0_);[Red]\("$"#,##0\)</c:formatCode>
                <c:ptCount val="14"/>
                <c:pt idx="0">
                  <c:v>246906.4</c:v>
                </c:pt>
                <c:pt idx="1">
                  <c:v>246462.95</c:v>
                </c:pt>
                <c:pt idx="2">
                  <c:v>249807.51</c:v>
                </c:pt>
                <c:pt idx="3">
                  <c:v>351420.1</c:v>
                </c:pt>
                <c:pt idx="4">
                  <c:v>253330.36</c:v>
                </c:pt>
                <c:pt idx="5">
                  <c:v>280744.2</c:v>
                </c:pt>
                <c:pt idx="6">
                  <c:v>319478.15999999997</c:v>
                </c:pt>
                <c:pt idx="7">
                  <c:v>241828.1</c:v>
                </c:pt>
                <c:pt idx="8">
                  <c:v>248981.18</c:v>
                </c:pt>
                <c:pt idx="9">
                  <c:v>268937.63</c:v>
                </c:pt>
                <c:pt idx="10">
                  <c:v>202003.18</c:v>
                </c:pt>
                <c:pt idx="11">
                  <c:v>182576.56</c:v>
                </c:pt>
                <c:pt idx="12">
                  <c:v>196611.02000000002</c:v>
                </c:pt>
              </c:numCache>
            </c:numRef>
          </c:val>
        </c:ser>
        <c:dLbls>
          <c:showLegendKey val="0"/>
          <c:showVal val="0"/>
          <c:showCatName val="0"/>
          <c:showSerName val="0"/>
          <c:showPercent val="0"/>
          <c:showBubbleSize val="0"/>
        </c:dLbls>
        <c:gapWidth val="243"/>
        <c:overlap val="-83"/>
        <c:axId val="580208576"/>
        <c:axId val="580208184"/>
      </c:barChart>
      <c:dateAx>
        <c:axId val="58020857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208184"/>
        <c:crosses val="autoZero"/>
        <c:auto val="1"/>
        <c:lblOffset val="100"/>
        <c:baseTimeUnit val="months"/>
      </c:dateAx>
      <c:valAx>
        <c:axId val="58020818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20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9CAE-ACD8-4D23-8469-C9D97DA4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aboyle</dc:creator>
  <cp:lastModifiedBy>Claire Parde</cp:lastModifiedBy>
  <cp:revision>4</cp:revision>
  <dcterms:created xsi:type="dcterms:W3CDTF">2017-11-28T20:47:00Z</dcterms:created>
  <dcterms:modified xsi:type="dcterms:W3CDTF">2017-11-28T21:07:00Z</dcterms:modified>
</cp:coreProperties>
</file>