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bookmarkStart w:id="0" w:name="_GoBack"/>
      <w:bookmarkEnd w:id="0"/>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3128AC">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E93804">
            <w:pPr>
              <w:jc w:val="both"/>
              <w:rPr>
                <w:b/>
              </w:rPr>
            </w:pPr>
            <w:r w:rsidRPr="001E0050">
              <w:rPr>
                <w:b/>
              </w:rPr>
              <w:t xml:space="preserve">Date:   </w:t>
            </w:r>
            <w:r w:rsidR="00482802">
              <w:rPr>
                <w:b/>
              </w:rPr>
              <w:t xml:space="preserve">  </w:t>
            </w:r>
            <w:r w:rsidR="00E93804">
              <w:rPr>
                <w:b/>
              </w:rPr>
              <w:t>March 28</w:t>
            </w:r>
            <w:r w:rsidR="00591B6F">
              <w:rPr>
                <w:b/>
              </w:rPr>
              <w:t>, 2023</w:t>
            </w:r>
          </w:p>
        </w:tc>
      </w:tr>
      <w:tr w:rsidR="00D81AA6" w:rsidRPr="001E0050" w:rsidTr="00655166">
        <w:trPr>
          <w:trHeight w:val="275"/>
        </w:trPr>
        <w:tc>
          <w:tcPr>
            <w:tcW w:w="10552" w:type="dxa"/>
            <w:gridSpan w:val="2"/>
            <w:vMerge w:val="restart"/>
            <w:vAlign w:val="center"/>
          </w:tcPr>
          <w:p w:rsidR="00832D28" w:rsidRDefault="00482802" w:rsidP="007F6BC1">
            <w:pPr>
              <w:spacing w:before="120" w:after="120"/>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w:t>
            </w:r>
            <w:r w:rsidR="00857B05">
              <w:rPr>
                <w:b/>
              </w:rPr>
              <w:t>Jack Mabb (</w:t>
            </w:r>
            <w:r w:rsidR="00D54FD3">
              <w:rPr>
                <w:b/>
              </w:rPr>
              <w:t>Chair)</w:t>
            </w:r>
            <w:r w:rsidR="006D61DE">
              <w:rPr>
                <w:b/>
              </w:rPr>
              <w:t xml:space="preserve">, </w:t>
            </w:r>
            <w:r w:rsidR="00E93804">
              <w:rPr>
                <w:b/>
              </w:rPr>
              <w:t xml:space="preserve">Ken Stall, </w:t>
            </w:r>
            <w:r w:rsidR="00244E6B">
              <w:rPr>
                <w:b/>
              </w:rPr>
              <w:t>David Rossetti</w:t>
            </w:r>
            <w:r w:rsidR="00CF09A1">
              <w:rPr>
                <w:b/>
              </w:rPr>
              <w:t xml:space="preserve"> </w:t>
            </w:r>
          </w:p>
          <w:p w:rsidR="00467110" w:rsidRPr="001E0050" w:rsidRDefault="00482802" w:rsidP="00591B6F">
            <w:pPr>
              <w:spacing w:before="120" w:after="120"/>
              <w:jc w:val="both"/>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E93804">
              <w:rPr>
                <w:b/>
              </w:rPr>
              <w:t xml:space="preserve">Bob Gibson, </w:t>
            </w:r>
            <w:r w:rsidR="00591B6F">
              <w:rPr>
                <w:b/>
              </w:rPr>
              <w:t xml:space="preserve">PJ Keeler, </w:t>
            </w:r>
            <w:r w:rsidR="00244E6B">
              <w:rPr>
                <w:b/>
              </w:rPr>
              <w:t>Kevin McDonald</w:t>
            </w:r>
            <w:r w:rsidR="00591B6F">
              <w:rPr>
                <w:b/>
              </w:rPr>
              <w:t xml:space="preserve"> </w:t>
            </w:r>
          </w:p>
        </w:tc>
        <w:tc>
          <w:tcPr>
            <w:tcW w:w="4028" w:type="dxa"/>
          </w:tcPr>
          <w:p w:rsidR="00D81AA6" w:rsidRPr="001E0050" w:rsidRDefault="00D81AA6" w:rsidP="00591B6F">
            <w:pPr>
              <w:jc w:val="both"/>
              <w:rPr>
                <w:b/>
              </w:rPr>
            </w:pPr>
            <w:r w:rsidRPr="001E0050">
              <w:rPr>
                <w:b/>
              </w:rPr>
              <w:t>Guests:</w:t>
            </w:r>
            <w:r w:rsidR="00303441">
              <w:rPr>
                <w:b/>
              </w:rPr>
              <w:t xml:space="preserve"> </w:t>
            </w:r>
            <w:r w:rsidR="00591B6F">
              <w:rPr>
                <w:b/>
              </w:rPr>
              <w:t>TJ Pellitteri</w:t>
            </w:r>
          </w:p>
        </w:tc>
      </w:tr>
      <w:tr w:rsidR="00D81AA6" w:rsidRPr="001E0050" w:rsidTr="003128AC">
        <w:trPr>
          <w:trHeight w:val="368"/>
        </w:trPr>
        <w:tc>
          <w:tcPr>
            <w:tcW w:w="10552" w:type="dxa"/>
            <w:gridSpan w:val="2"/>
            <w:vMerge/>
          </w:tcPr>
          <w:p w:rsidR="00D81AA6" w:rsidRPr="001E0050" w:rsidRDefault="00D81AA6" w:rsidP="003128AC">
            <w:pPr>
              <w:jc w:val="both"/>
              <w:rPr>
                <w:b/>
              </w:rPr>
            </w:pPr>
          </w:p>
        </w:tc>
        <w:tc>
          <w:tcPr>
            <w:tcW w:w="4028" w:type="dxa"/>
          </w:tcPr>
          <w:p w:rsidR="00482802" w:rsidRDefault="00D81AA6" w:rsidP="003128AC">
            <w:pPr>
              <w:rPr>
                <w:b/>
              </w:rPr>
            </w:pPr>
            <w:r w:rsidRPr="001E0050">
              <w:rPr>
                <w:b/>
              </w:rPr>
              <w:t>Staff Members Attending:</w:t>
            </w:r>
            <w:r w:rsidR="004C104F">
              <w:rPr>
                <w:b/>
              </w:rPr>
              <w:t xml:space="preserve"> </w:t>
            </w:r>
          </w:p>
          <w:p w:rsidR="00D81AA6" w:rsidRPr="001E0050" w:rsidRDefault="004E0E27" w:rsidP="003128AC">
            <w:pPr>
              <w:rPr>
                <w:b/>
              </w:rPr>
            </w:pPr>
            <w:r>
              <w:rPr>
                <w:b/>
              </w:rPr>
              <w:t>John Ray</w:t>
            </w:r>
            <w:r w:rsidR="00BC4A47">
              <w:rPr>
                <w:b/>
              </w:rPr>
              <w:t xml:space="preserve"> and </w:t>
            </w:r>
            <w:r w:rsidR="00C61660">
              <w:rPr>
                <w:b/>
              </w:rPr>
              <w:t>Claire Parde</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E93804" w:rsidRPr="001E0050" w:rsidTr="00AE50EC">
        <w:trPr>
          <w:trHeight w:val="1727"/>
        </w:trPr>
        <w:tc>
          <w:tcPr>
            <w:tcW w:w="1536" w:type="dxa"/>
            <w:tcBorders>
              <w:top w:val="single" w:sz="4" w:space="0" w:color="auto"/>
              <w:left w:val="single" w:sz="8" w:space="0" w:color="auto"/>
              <w:bottom w:val="single" w:sz="4" w:space="0" w:color="auto"/>
              <w:right w:val="single" w:sz="4" w:space="0" w:color="auto"/>
            </w:tcBorders>
            <w:vAlign w:val="center"/>
          </w:tcPr>
          <w:p w:rsidR="00E93804" w:rsidRDefault="00E93804" w:rsidP="00AE50EC">
            <w:pPr>
              <w:spacing w:before="120" w:after="120"/>
            </w:pPr>
            <w:r>
              <w:t xml:space="preserve">Advisor Update on the Board-designated Fund and 401(k) </w:t>
            </w:r>
          </w:p>
        </w:tc>
        <w:tc>
          <w:tcPr>
            <w:tcW w:w="13044" w:type="dxa"/>
            <w:gridSpan w:val="2"/>
            <w:tcBorders>
              <w:top w:val="single" w:sz="4" w:space="0" w:color="auto"/>
              <w:left w:val="single" w:sz="4" w:space="0" w:color="auto"/>
              <w:bottom w:val="single" w:sz="4" w:space="0" w:color="auto"/>
            </w:tcBorders>
            <w:vAlign w:val="center"/>
          </w:tcPr>
          <w:p w:rsidR="00E93804" w:rsidRDefault="00E93804" w:rsidP="00E93804">
            <w:pPr>
              <w:spacing w:after="120"/>
            </w:pPr>
            <w:r>
              <w:t>The agency’s investment advisor, TJ Pellitteri, provide</w:t>
            </w:r>
            <w:r w:rsidR="00BB14A1">
              <w:t>d</w:t>
            </w:r>
            <w:r>
              <w:t xml:space="preserve"> a report on the performance of the agency’s Board-designated Fund and 401(k) accounts. TJ indicated that the changes to our portfolio that he had hoped to pursue were inconsistent with our Investment Policy and therefore were note made.</w:t>
            </w:r>
          </w:p>
          <w:p w:rsidR="00E93804" w:rsidRPr="00112DBB" w:rsidRDefault="00E93804" w:rsidP="00E93804">
            <w:pPr>
              <w:spacing w:after="120"/>
            </w:pPr>
            <w:r>
              <w:t xml:space="preserve">TJ indicated that we are in the process of switching the agency’s 401(k) platform from Nationwide to Voya.  We will need to send a notice to all enrollees regarding the 30-day “blackout period” during which time no trades can be made. Switching to Voya will allow us to get into cheaper funds with a more equitable fee structure.  </w:t>
            </w:r>
          </w:p>
        </w:tc>
      </w:tr>
      <w:tr w:rsidR="00E93804" w:rsidRPr="001E0050" w:rsidTr="00591B6F">
        <w:trPr>
          <w:trHeight w:val="1007"/>
        </w:trPr>
        <w:tc>
          <w:tcPr>
            <w:tcW w:w="1536" w:type="dxa"/>
            <w:tcBorders>
              <w:top w:val="single" w:sz="4" w:space="0" w:color="auto"/>
              <w:left w:val="single" w:sz="8" w:space="0" w:color="auto"/>
              <w:bottom w:val="single" w:sz="4" w:space="0" w:color="auto"/>
              <w:right w:val="single" w:sz="4" w:space="0" w:color="auto"/>
            </w:tcBorders>
            <w:vAlign w:val="center"/>
          </w:tcPr>
          <w:p w:rsidR="00E93804" w:rsidRDefault="00E93804" w:rsidP="00E93804">
            <w:pPr>
              <w:spacing w:before="120" w:after="120"/>
            </w:pPr>
            <w:r>
              <w:t>Update on the annual external audit</w:t>
            </w:r>
          </w:p>
        </w:tc>
        <w:tc>
          <w:tcPr>
            <w:tcW w:w="13044" w:type="dxa"/>
            <w:gridSpan w:val="2"/>
            <w:tcBorders>
              <w:top w:val="single" w:sz="4" w:space="0" w:color="auto"/>
              <w:left w:val="single" w:sz="4" w:space="0" w:color="auto"/>
              <w:bottom w:val="single" w:sz="4" w:space="0" w:color="auto"/>
            </w:tcBorders>
            <w:vAlign w:val="center"/>
          </w:tcPr>
          <w:p w:rsidR="00E93804" w:rsidRDefault="00E93804" w:rsidP="00AC7FEE">
            <w:pPr>
              <w:spacing w:before="120" w:after="120"/>
            </w:pPr>
            <w:r>
              <w:t>Fiscal Manager, John Ray, provided the Committee with an update on the agency’s annual external audit process.  All materials have been supplied to Bonadio, which is</w:t>
            </w:r>
            <w:r w:rsidR="00AC7FEE">
              <w:t xml:space="preserve"> expected to present the audited financial statements to the Board at its next meeting in early April.  Annual tax filings, however, have been put on extension, and will be presented for approval to the Board at a later time. </w:t>
            </w:r>
            <w:r>
              <w:t xml:space="preserve"> </w:t>
            </w:r>
          </w:p>
        </w:tc>
      </w:tr>
      <w:tr w:rsidR="00E93804" w:rsidRPr="001E0050" w:rsidTr="00D54FD3">
        <w:trPr>
          <w:trHeight w:val="2222"/>
        </w:trPr>
        <w:tc>
          <w:tcPr>
            <w:tcW w:w="1536" w:type="dxa"/>
            <w:tcBorders>
              <w:top w:val="single" w:sz="4" w:space="0" w:color="auto"/>
              <w:left w:val="single" w:sz="8" w:space="0" w:color="auto"/>
              <w:bottom w:val="single" w:sz="4" w:space="0" w:color="auto"/>
              <w:right w:val="single" w:sz="4" w:space="0" w:color="auto"/>
            </w:tcBorders>
            <w:vAlign w:val="center"/>
          </w:tcPr>
          <w:p w:rsidR="00E93804" w:rsidRDefault="00E93804" w:rsidP="00E93804">
            <w:pPr>
              <w:spacing w:before="120" w:after="120"/>
            </w:pPr>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E93804" w:rsidRDefault="00E93804" w:rsidP="00E93804">
            <w:pPr>
              <w:spacing w:before="120" w:after="120"/>
            </w:pPr>
            <w:r>
              <w:t xml:space="preserve">The Committee inspected the Organization’s Financial Reports, including the Statement of Revenues, Supports and Expenses, Aging Summary, the Statement of Financial Position (Balance Sheet), and Statements of Activities (Income Statement), all of which are current to </w:t>
            </w:r>
            <w:r w:rsidR="00AC7FEE">
              <w:t>February 28</w:t>
            </w:r>
            <w:r w:rsidRPr="00344810">
              <w:t>, 2022.</w:t>
            </w:r>
            <w:r>
              <w:t xml:space="preserve"> Additionally, John Ray offered his “Fiscal Highlights” report.  As usual, these reports will be posted to the Board Portal for review by all interested Directors.</w:t>
            </w:r>
          </w:p>
          <w:p w:rsidR="00BB14A1" w:rsidRDefault="00E93804" w:rsidP="00BB14A1">
            <w:pPr>
              <w:spacing w:before="120" w:after="120"/>
            </w:pPr>
            <w:r>
              <w:t>Of note is the</w:t>
            </w:r>
            <w:r w:rsidR="00AC7FEE">
              <w:t xml:space="preserve"> fairly large Accounts Receivable (A/R) balance as of 2-28-23.  These are principally comprised of balances due from NYS for services rendered through our Navigator and Tobacco co</w:t>
            </w:r>
            <w:r w:rsidR="00BB14A1">
              <w:t>ntracts</w:t>
            </w:r>
            <w:r w:rsidR="00AE50EC">
              <w:t xml:space="preserve"> (recall that </w:t>
            </w:r>
            <w:r w:rsidR="00BB14A1">
              <w:t>NYSDOH had been slow to approve these contract budgets and initiate voucher payment</w:t>
            </w:r>
            <w:r w:rsidR="00AE50EC">
              <w:t>)</w:t>
            </w:r>
            <w:r w:rsidR="00BB14A1">
              <w:t>.  Furthermore, John noted that January and February are historical</w:t>
            </w:r>
            <w:r w:rsidR="00AE50EC">
              <w:t>ly peak months for A/R.</w:t>
            </w:r>
            <w:r w:rsidR="00BB14A1">
              <w:t xml:space="preserve">  The good news is the bulk of the A/R has been received </w:t>
            </w:r>
            <w:r w:rsidR="00AE50EC">
              <w:t xml:space="preserve">since the period-end, </w:t>
            </w:r>
            <w:r w:rsidR="00BB14A1">
              <w:t xml:space="preserve">in the month of March. </w:t>
            </w:r>
          </w:p>
          <w:p w:rsidR="00E93804" w:rsidRPr="005B7F51" w:rsidRDefault="00BB14A1" w:rsidP="00BB14A1">
            <w:pPr>
              <w:spacing w:before="120" w:after="120"/>
            </w:pPr>
            <w:r>
              <w:t xml:space="preserve">The agency continues to have a large </w:t>
            </w:r>
            <w:r w:rsidR="00AC7FEE">
              <w:t xml:space="preserve">cash balance </w:t>
            </w:r>
            <w:r>
              <w:t xml:space="preserve">in its </w:t>
            </w:r>
            <w:r w:rsidR="00E93804">
              <w:t xml:space="preserve">accounts </w:t>
            </w:r>
            <w:r>
              <w:t xml:space="preserve">at the Bank of Greene County. Given the recent collapse of two </w:t>
            </w:r>
            <w:r w:rsidR="00AE50EC">
              <w:t xml:space="preserve">small to mid-sized </w:t>
            </w:r>
            <w:r>
              <w:t xml:space="preserve">regional banks in other parts of the country, the Committee thought it prudent to extract a portion of those funds and deposit them in an online savings account with a favorable interest rate.  Staff will pursue this option in the coming weeks. </w:t>
            </w:r>
          </w:p>
        </w:tc>
      </w:tr>
      <w:tr w:rsidR="00BB14A1" w:rsidRPr="001E0050" w:rsidTr="00BB14A1">
        <w:trPr>
          <w:trHeight w:val="710"/>
        </w:trPr>
        <w:tc>
          <w:tcPr>
            <w:tcW w:w="1536" w:type="dxa"/>
            <w:tcBorders>
              <w:top w:val="single" w:sz="4" w:space="0" w:color="auto"/>
              <w:left w:val="single" w:sz="8" w:space="0" w:color="auto"/>
              <w:bottom w:val="single" w:sz="4" w:space="0" w:color="auto"/>
              <w:right w:val="single" w:sz="4" w:space="0" w:color="auto"/>
            </w:tcBorders>
            <w:vAlign w:val="center"/>
          </w:tcPr>
          <w:p w:rsidR="00BB14A1" w:rsidRDefault="00BB14A1" w:rsidP="00E93804">
            <w:pPr>
              <w:spacing w:before="120" w:after="120"/>
            </w:pPr>
            <w:r>
              <w:t>Deep Dive on CARTS</w:t>
            </w:r>
          </w:p>
        </w:tc>
        <w:tc>
          <w:tcPr>
            <w:tcW w:w="13044" w:type="dxa"/>
            <w:gridSpan w:val="2"/>
            <w:tcBorders>
              <w:top w:val="single" w:sz="4" w:space="0" w:color="auto"/>
              <w:left w:val="single" w:sz="4" w:space="0" w:color="auto"/>
              <w:bottom w:val="single" w:sz="4" w:space="0" w:color="auto"/>
            </w:tcBorders>
            <w:vAlign w:val="center"/>
          </w:tcPr>
          <w:p w:rsidR="00BB14A1" w:rsidRDefault="00BB14A1" w:rsidP="00AE50EC">
            <w:pPr>
              <w:spacing w:before="120" w:after="120"/>
            </w:pPr>
            <w:r>
              <w:t>Claire shared a tool that John Ray created to help CARTS Program Director Jim Funk stay within budget. She proposed that part of the May meeting agenda include a “deep dive” on CARTS’</w:t>
            </w:r>
            <w:r w:rsidR="00AE50EC">
              <w:t xml:space="preserve"> financial </w:t>
            </w:r>
            <w:r>
              <w:t xml:space="preserve">performance thus far. </w:t>
            </w:r>
          </w:p>
        </w:tc>
      </w:tr>
      <w:tr w:rsidR="00E93804"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E93804" w:rsidRPr="001E0050" w:rsidRDefault="00E93804" w:rsidP="00E93804">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E93804" w:rsidRPr="005C1500" w:rsidRDefault="00E93804" w:rsidP="00AC7FEE">
            <w:pPr>
              <w:spacing w:before="120" w:after="120"/>
              <w:jc w:val="both"/>
              <w:rPr>
                <w:b/>
              </w:rPr>
            </w:pPr>
            <w:r>
              <w:rPr>
                <w:b/>
              </w:rPr>
              <w:t xml:space="preserve">Date, Time &amp; Location:  </w:t>
            </w:r>
            <w:r w:rsidRPr="005C1500">
              <w:rPr>
                <w:b/>
              </w:rPr>
              <w:t xml:space="preserve">Tuesday, </w:t>
            </w:r>
            <w:r w:rsidR="00AC7FEE">
              <w:rPr>
                <w:b/>
              </w:rPr>
              <w:t>May 23</w:t>
            </w:r>
            <w:r>
              <w:rPr>
                <w:b/>
              </w:rPr>
              <w:t xml:space="preserve">, 2023 </w:t>
            </w:r>
            <w:r w:rsidRPr="005C1500">
              <w:rPr>
                <w:b/>
              </w:rPr>
              <w:t>at 3:00 p.m.</w:t>
            </w:r>
            <w:r>
              <w:rPr>
                <w:b/>
              </w:rPr>
              <w:t>, 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79" w:rsidRDefault="00987979" w:rsidP="00A96EC7">
      <w:r>
        <w:separator/>
      </w:r>
    </w:p>
  </w:endnote>
  <w:endnote w:type="continuationSeparator" w:id="0">
    <w:p w:rsidR="00987979" w:rsidRDefault="00987979"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79" w:rsidRDefault="00987979" w:rsidP="00A96EC7">
      <w:r>
        <w:separator/>
      </w:r>
    </w:p>
  </w:footnote>
  <w:footnote w:type="continuationSeparator" w:id="0">
    <w:p w:rsidR="00987979" w:rsidRDefault="00987979"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247E"/>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0366B"/>
    <w:rsid w:val="00106FC7"/>
    <w:rsid w:val="001110DB"/>
    <w:rsid w:val="00112DBB"/>
    <w:rsid w:val="001255F4"/>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4E6B"/>
    <w:rsid w:val="00247C27"/>
    <w:rsid w:val="00252DCF"/>
    <w:rsid w:val="0025371D"/>
    <w:rsid w:val="00260DBC"/>
    <w:rsid w:val="002620DF"/>
    <w:rsid w:val="00263074"/>
    <w:rsid w:val="002659C8"/>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28AC"/>
    <w:rsid w:val="003164C2"/>
    <w:rsid w:val="00342789"/>
    <w:rsid w:val="00344810"/>
    <w:rsid w:val="00350A8C"/>
    <w:rsid w:val="00352709"/>
    <w:rsid w:val="003624D1"/>
    <w:rsid w:val="00372BD2"/>
    <w:rsid w:val="00384A05"/>
    <w:rsid w:val="00385B16"/>
    <w:rsid w:val="003918B4"/>
    <w:rsid w:val="003A1110"/>
    <w:rsid w:val="003A2E4C"/>
    <w:rsid w:val="003D5D2B"/>
    <w:rsid w:val="003E0374"/>
    <w:rsid w:val="003E12FA"/>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91B6F"/>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096F"/>
    <w:rsid w:val="00655166"/>
    <w:rsid w:val="0066211B"/>
    <w:rsid w:val="006764D2"/>
    <w:rsid w:val="00690525"/>
    <w:rsid w:val="00694DA0"/>
    <w:rsid w:val="006B0651"/>
    <w:rsid w:val="006B74FA"/>
    <w:rsid w:val="006C5404"/>
    <w:rsid w:val="006C59E1"/>
    <w:rsid w:val="006C7D2A"/>
    <w:rsid w:val="006D2900"/>
    <w:rsid w:val="006D2E29"/>
    <w:rsid w:val="006D5967"/>
    <w:rsid w:val="006D5B7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7F6BC1"/>
    <w:rsid w:val="00810247"/>
    <w:rsid w:val="00820CBF"/>
    <w:rsid w:val="00832D28"/>
    <w:rsid w:val="00835CE2"/>
    <w:rsid w:val="00843353"/>
    <w:rsid w:val="00847547"/>
    <w:rsid w:val="00855300"/>
    <w:rsid w:val="00857B05"/>
    <w:rsid w:val="008630E4"/>
    <w:rsid w:val="008700A0"/>
    <w:rsid w:val="0088470F"/>
    <w:rsid w:val="0088542F"/>
    <w:rsid w:val="00894980"/>
    <w:rsid w:val="008A2296"/>
    <w:rsid w:val="008B6984"/>
    <w:rsid w:val="008B6992"/>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8725F"/>
    <w:rsid w:val="00987979"/>
    <w:rsid w:val="00990131"/>
    <w:rsid w:val="00990FBF"/>
    <w:rsid w:val="009B0343"/>
    <w:rsid w:val="009B1E1A"/>
    <w:rsid w:val="009C2995"/>
    <w:rsid w:val="009C4F61"/>
    <w:rsid w:val="009C541E"/>
    <w:rsid w:val="009D18D2"/>
    <w:rsid w:val="009E5527"/>
    <w:rsid w:val="009E7D9C"/>
    <w:rsid w:val="009F565B"/>
    <w:rsid w:val="00A02AD5"/>
    <w:rsid w:val="00A03133"/>
    <w:rsid w:val="00A107CE"/>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A7D23"/>
    <w:rsid w:val="00AB137D"/>
    <w:rsid w:val="00AB5968"/>
    <w:rsid w:val="00AC7FEE"/>
    <w:rsid w:val="00AE39BD"/>
    <w:rsid w:val="00AE50EC"/>
    <w:rsid w:val="00AF0735"/>
    <w:rsid w:val="00AF3247"/>
    <w:rsid w:val="00AF5F37"/>
    <w:rsid w:val="00AF728C"/>
    <w:rsid w:val="00B031B8"/>
    <w:rsid w:val="00B070AB"/>
    <w:rsid w:val="00B13FB5"/>
    <w:rsid w:val="00B241BE"/>
    <w:rsid w:val="00B30CCD"/>
    <w:rsid w:val="00B44232"/>
    <w:rsid w:val="00B50218"/>
    <w:rsid w:val="00B50F4B"/>
    <w:rsid w:val="00B568C6"/>
    <w:rsid w:val="00B57C39"/>
    <w:rsid w:val="00B60BAB"/>
    <w:rsid w:val="00B61EBD"/>
    <w:rsid w:val="00B708DF"/>
    <w:rsid w:val="00B71B2B"/>
    <w:rsid w:val="00B7365D"/>
    <w:rsid w:val="00B75C3E"/>
    <w:rsid w:val="00B816D9"/>
    <w:rsid w:val="00B93F06"/>
    <w:rsid w:val="00B94A16"/>
    <w:rsid w:val="00B956A7"/>
    <w:rsid w:val="00B9717B"/>
    <w:rsid w:val="00BB14A1"/>
    <w:rsid w:val="00BC050C"/>
    <w:rsid w:val="00BC4A47"/>
    <w:rsid w:val="00BC5F08"/>
    <w:rsid w:val="00BC6402"/>
    <w:rsid w:val="00BD57CE"/>
    <w:rsid w:val="00BE2FC7"/>
    <w:rsid w:val="00BE50D6"/>
    <w:rsid w:val="00BE521E"/>
    <w:rsid w:val="00BE76E2"/>
    <w:rsid w:val="00BF2184"/>
    <w:rsid w:val="00C14518"/>
    <w:rsid w:val="00C27C64"/>
    <w:rsid w:val="00C30993"/>
    <w:rsid w:val="00C31650"/>
    <w:rsid w:val="00C50DA8"/>
    <w:rsid w:val="00C61660"/>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54FD3"/>
    <w:rsid w:val="00D70608"/>
    <w:rsid w:val="00D81200"/>
    <w:rsid w:val="00D81AA6"/>
    <w:rsid w:val="00D94F56"/>
    <w:rsid w:val="00D96FF1"/>
    <w:rsid w:val="00DA2F4A"/>
    <w:rsid w:val="00DA6950"/>
    <w:rsid w:val="00DB62FF"/>
    <w:rsid w:val="00DD6CB2"/>
    <w:rsid w:val="00E15289"/>
    <w:rsid w:val="00E40D99"/>
    <w:rsid w:val="00E455C8"/>
    <w:rsid w:val="00E637F7"/>
    <w:rsid w:val="00E63E10"/>
    <w:rsid w:val="00E722FC"/>
    <w:rsid w:val="00E81E94"/>
    <w:rsid w:val="00E91034"/>
    <w:rsid w:val="00E917BE"/>
    <w:rsid w:val="00E93804"/>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79B"/>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250C-BFDF-4B3D-9C33-8460D725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Ashling Kelly</cp:lastModifiedBy>
  <cp:revision>2</cp:revision>
  <dcterms:created xsi:type="dcterms:W3CDTF">2023-03-30T16:15:00Z</dcterms:created>
  <dcterms:modified xsi:type="dcterms:W3CDTF">2023-03-30T16:15:00Z</dcterms:modified>
</cp:coreProperties>
</file>